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jc w:val="both"/>
        <w:rPr>
          <w:rFonts w:eastAsia="Malacitana-Sans" w:asciiTheme="majorHAnsi" w:hAnsiTheme="majorHAnsi" w:cstheme="majorHAnsi"/>
          <w:sz w:val="22"/>
          <w:szCs w:val="22"/>
        </w:rPr>
      </w:pPr>
    </w:p>
    <w:p w14:paraId="00000002">
      <w:pPr>
        <w:jc w:val="center"/>
        <w:rPr>
          <w:rFonts w:eastAsia="Malacitana-Sans" w:asciiTheme="majorHAnsi" w:hAnsiTheme="majorHAnsi" w:cstheme="majorHAnsi"/>
          <w:sz w:val="22"/>
          <w:szCs w:val="22"/>
        </w:rPr>
      </w:pPr>
      <w:r>
        <w:rPr>
          <w:rFonts w:eastAsia="Malacitana-Sans" w:asciiTheme="majorHAnsi" w:hAnsiTheme="majorHAnsi" w:cstheme="majorHAnsi"/>
          <w:b/>
          <w:bCs/>
          <w:sz w:val="22"/>
          <w:szCs w:val="22"/>
        </w:rPr>
        <w:t>GUIDELINES FOR THE SELECTION OF PARTICIPANTS</w:t>
      </w:r>
    </w:p>
    <w:p w14:paraId="00000003">
      <w:pPr>
        <w:jc w:val="center"/>
        <w:rPr>
          <w:rFonts w:eastAsia="Malacitana-Sans" w:asciiTheme="majorHAnsi" w:hAnsiTheme="majorHAnsi" w:cstheme="majorHAnsi"/>
          <w:sz w:val="22"/>
          <w:szCs w:val="22"/>
        </w:rPr>
      </w:pPr>
    </w:p>
    <w:p w14:paraId="00000004">
      <w:pPr>
        <w:jc w:val="center"/>
        <w:rPr>
          <w:rFonts w:eastAsia="Malacitana-Sans" w:asciiTheme="majorHAnsi" w:hAnsiTheme="majorHAnsi" w:cstheme="majorHAnsi"/>
          <w:sz w:val="22"/>
          <w:szCs w:val="22"/>
        </w:rPr>
      </w:pPr>
      <w:bookmarkStart w:id="0" w:name="_heading=h.hgrgibe9zxmi" w:colFirst="0" w:colLast="0"/>
      <w:bookmarkEnd w:id="0"/>
      <w:r>
        <w:rPr>
          <w:rFonts w:eastAsia="Malacitana-Sans" w:asciiTheme="majorHAnsi" w:hAnsiTheme="majorHAnsi" w:cstheme="majorHAnsi"/>
          <w:b/>
          <w:bCs/>
          <w:sz w:val="22"/>
          <w:szCs w:val="22"/>
        </w:rPr>
        <w:t>CALL FOR APPLICATIONS FOR ERASMUS MOBILITY BETWEEN AL-QUDS UNIVERSITY AND THE UNIVERSITY OF HUELVA</w:t>
      </w:r>
    </w:p>
    <w:p w14:paraId="00000005">
      <w:pPr>
        <w:jc w:val="center"/>
        <w:rPr>
          <w:rFonts w:eastAsia="Malacitana-Sans" w:asciiTheme="majorHAnsi" w:hAnsiTheme="majorHAnsi" w:cstheme="majorHAnsi"/>
          <w:sz w:val="22"/>
          <w:szCs w:val="22"/>
        </w:rPr>
      </w:pPr>
      <w:r>
        <w:rPr>
          <w:rFonts w:eastAsia="Malacitana-Sans" w:asciiTheme="majorHAnsi" w:hAnsiTheme="majorHAnsi" w:cstheme="majorHAnsi"/>
          <w:b/>
          <w:bCs/>
          <w:sz w:val="22"/>
          <w:szCs w:val="22"/>
        </w:rPr>
        <w:t>KEY ACTION 1 (KA 171)</w:t>
      </w:r>
    </w:p>
    <w:p w14:paraId="00000006">
      <w:pPr>
        <w:jc w:val="both"/>
        <w:rPr>
          <w:rFonts w:eastAsia="Malacitana-Sans" w:asciiTheme="majorHAnsi" w:hAnsiTheme="majorHAnsi" w:cstheme="majorHAnsi"/>
          <w:sz w:val="22"/>
          <w:szCs w:val="22"/>
        </w:rPr>
      </w:pPr>
    </w:p>
    <w:p w14:paraId="00000007">
      <w:pPr>
        <w:jc w:val="both"/>
        <w:rPr>
          <w:rFonts w:eastAsia="Malacitana-Sans" w:asciiTheme="majorHAnsi" w:hAnsiTheme="majorHAnsi" w:cstheme="majorHAnsi"/>
          <w:sz w:val="22"/>
          <w:szCs w:val="22"/>
          <w:highlight w:val="yellow"/>
        </w:rPr>
      </w:pPr>
    </w:p>
    <w:p w14:paraId="00000008">
      <w:pPr>
        <w:pBdr>
          <w:top w:val="none" w:color="auto" w:sz="0" w:space="0"/>
          <w:left w:val="none" w:color="auto" w:sz="0" w:space="0"/>
          <w:bottom w:val="none" w:color="auto" w:sz="0" w:space="0"/>
          <w:right w:val="none" w:color="auto" w:sz="0" w:space="0"/>
          <w:between w:val="none" w:color="auto" w:sz="0" w:space="0"/>
        </w:pBdr>
        <w:spacing w:after="120"/>
        <w:jc w:val="both"/>
        <w:rPr>
          <w:rFonts w:eastAsia="Malacitana-Sans" w:asciiTheme="majorHAnsi" w:hAnsiTheme="majorHAnsi" w:cstheme="majorHAnsi"/>
          <w:color w:val="000000"/>
          <w:sz w:val="22"/>
          <w:szCs w:val="22"/>
        </w:rPr>
      </w:pPr>
      <w:r>
        <w:rPr>
          <w:rFonts w:eastAsia="Malacitana-Sans" w:asciiTheme="majorHAnsi" w:hAnsiTheme="majorHAnsi" w:cstheme="majorHAnsi"/>
          <w:b/>
          <w:bCs/>
          <w:color w:val="000000"/>
          <w:sz w:val="22"/>
          <w:szCs w:val="22"/>
        </w:rPr>
        <w:t>PREAMBLE</w:t>
      </w:r>
    </w:p>
    <w:p w14:paraId="00000009">
      <w:pPr>
        <w:pBdr>
          <w:top w:val="none" w:color="auto" w:sz="0" w:space="0"/>
          <w:left w:val="none" w:color="auto" w:sz="0" w:space="0"/>
          <w:bottom w:val="none" w:color="auto" w:sz="0" w:space="0"/>
          <w:right w:val="none" w:color="auto" w:sz="0" w:space="0"/>
          <w:between w:val="none" w:color="auto" w:sz="0" w:space="0"/>
        </w:pBdr>
        <w:spacing w:before="280" w:after="280"/>
        <w:ind w:firstLine="710"/>
        <w:jc w:val="both"/>
        <w:rPr>
          <w:rFonts w:eastAsia="Malacitana-Sans" w:asciiTheme="majorHAnsi" w:hAnsiTheme="majorHAnsi" w:cstheme="majorHAnsi"/>
          <w:color w:val="000000"/>
          <w:sz w:val="22"/>
          <w:szCs w:val="22"/>
        </w:rPr>
      </w:pPr>
      <w:r>
        <w:rPr>
          <w:rFonts w:eastAsia="Malacitana-Sans" w:asciiTheme="majorHAnsi" w:hAnsiTheme="majorHAnsi" w:cstheme="majorHAnsi"/>
          <w:color w:val="000000"/>
          <w:sz w:val="22"/>
          <w:szCs w:val="22"/>
        </w:rPr>
        <w:t>Al-Quds University approves the publication of this Call for student mobility at the University of Huelva (UHU) during the Spring Semester (February-June) of the 2026/2027 academic year. This program is developed by the European Commission with financial support organized by the Spanish Service for Internationalization of Education (SEPIE) within the Erasmus + Program, approved by the European Parliament in the financial framework 2021-2027. The Erasmus Programme prioritizes inclusion (persons with special needs and people from disadvantaged backgrounds), the environment, digitalization and European values).</w:t>
      </w:r>
    </w:p>
    <w:p w14:paraId="0000000A">
      <w:pPr>
        <w:pBdr>
          <w:top w:val="none" w:color="auto" w:sz="0" w:space="0"/>
          <w:left w:val="none" w:color="auto" w:sz="0" w:space="0"/>
          <w:bottom w:val="none" w:color="auto" w:sz="0" w:space="0"/>
          <w:right w:val="none" w:color="auto" w:sz="0" w:space="0"/>
          <w:between w:val="none" w:color="auto" w:sz="0" w:space="0"/>
        </w:pBdr>
        <w:ind w:firstLine="720"/>
        <w:jc w:val="both"/>
        <w:rPr>
          <w:rFonts w:eastAsia="Malacitana-Sans" w:asciiTheme="majorHAnsi" w:hAnsiTheme="majorHAnsi" w:cstheme="majorHAnsi"/>
          <w:color w:val="000000"/>
          <w:sz w:val="22"/>
          <w:szCs w:val="22"/>
        </w:rPr>
      </w:pPr>
      <w:r>
        <w:rPr>
          <w:rFonts w:eastAsia="Malacitana-Sans" w:asciiTheme="majorHAnsi" w:hAnsiTheme="majorHAnsi" w:cstheme="majorHAnsi"/>
          <w:color w:val="000000"/>
          <w:sz w:val="22"/>
          <w:szCs w:val="22"/>
        </w:rPr>
        <w:t>The purpose of this call is to grant 5–6 places (to be occupied by students enrolled at Al-Quds University) to carry out Erasmus+ student mobility for 5 months duration at the University of Huelva (UHU), during the 2026/2027 academic year. The funding allocated for the mobility periods corresponds to the following Erasmus KA171 Projects:</w:t>
      </w:r>
      <w:sdt>
        <w:sdtPr>
          <w:rPr>
            <w:rFonts w:asciiTheme="majorHAnsi" w:hAnsiTheme="majorHAnsi" w:cstheme="majorHAnsi"/>
            <w:sz w:val="22"/>
            <w:szCs w:val="22"/>
          </w:rPr>
          <w:tag w:val="goog_rdk_0"/>
          <w:id w:val="1098500869"/>
        </w:sdtPr>
        <w:sdtEndPr>
          <w:rPr>
            <w:rFonts w:asciiTheme="majorHAnsi" w:hAnsiTheme="majorHAnsi" w:cstheme="majorHAnsi"/>
            <w:sz w:val="22"/>
            <w:szCs w:val="22"/>
          </w:rPr>
        </w:sdtEndPr>
        <w:sdtContent/>
      </w:sdt>
      <w:sdt>
        <w:sdtPr>
          <w:rPr>
            <w:rFonts w:asciiTheme="majorHAnsi" w:hAnsiTheme="majorHAnsi" w:cstheme="majorHAnsi"/>
            <w:sz w:val="22"/>
            <w:szCs w:val="22"/>
          </w:rPr>
          <w:tag w:val="goog_rdk_1"/>
          <w:id w:val="-1779988760"/>
        </w:sdtPr>
        <w:sdtEndPr>
          <w:rPr>
            <w:rFonts w:asciiTheme="majorHAnsi" w:hAnsiTheme="majorHAnsi" w:cstheme="majorHAnsi"/>
            <w:sz w:val="22"/>
            <w:szCs w:val="22"/>
          </w:rPr>
        </w:sdtEndPr>
        <w:sdtContent/>
      </w:sdt>
    </w:p>
    <w:p w14:paraId="0000000B">
      <w:pPr>
        <w:pBdr>
          <w:top w:val="none" w:color="auto" w:sz="0" w:space="0"/>
          <w:left w:val="none" w:color="auto" w:sz="0" w:space="0"/>
          <w:bottom w:val="none" w:color="auto" w:sz="0" w:space="0"/>
          <w:right w:val="none" w:color="auto" w:sz="0" w:space="0"/>
          <w:between w:val="none" w:color="auto" w:sz="0" w:space="0"/>
        </w:pBdr>
        <w:ind w:firstLine="720"/>
        <w:jc w:val="both"/>
        <w:rPr>
          <w:rFonts w:eastAsia="Malacitana-Sans" w:asciiTheme="majorHAnsi" w:hAnsiTheme="majorHAnsi" w:cstheme="majorHAnsi"/>
          <w:color w:val="000000"/>
          <w:sz w:val="22"/>
          <w:szCs w:val="22"/>
        </w:rPr>
      </w:pPr>
    </w:p>
    <w:tbl>
      <w:tblPr>
        <w:tblStyle w:val="31"/>
        <w:tblW w:w="0" w:type="auto"/>
        <w:jc w:val="center"/>
        <w:tblLayout w:type="autofit"/>
        <w:tblCellMar>
          <w:top w:w="100" w:type="dxa"/>
          <w:left w:w="100" w:type="dxa"/>
          <w:bottom w:w="100" w:type="dxa"/>
          <w:right w:w="100" w:type="dxa"/>
        </w:tblCellMar>
      </w:tblPr>
      <w:tblGrid>
        <w:gridCol w:w="3402"/>
        <w:gridCol w:w="5102"/>
      </w:tblGrid>
      <w:tr w14:paraId="0134A65C">
        <w:tblPrEx>
          <w:tblCellMar>
            <w:top w:w="100" w:type="dxa"/>
            <w:left w:w="100" w:type="dxa"/>
            <w:bottom w:w="100" w:type="dxa"/>
            <w:right w:w="100" w:type="dxa"/>
          </w:tblCellMar>
        </w:tblPrEx>
        <w:trPr>
          <w:jc w:val="center"/>
        </w:trPr>
        <w:tc>
          <w:tcPr>
            <w:tcW w:w="3402" w:type="dxa"/>
            <w:tcBorders>
              <w:top w:val="single" w:color="808080" w:sz="4" w:space="0"/>
              <w:left w:val="single" w:color="808080" w:sz="4" w:space="0"/>
              <w:bottom w:val="single" w:color="808080" w:sz="4" w:space="0"/>
              <w:right w:val="single" w:color="808080" w:sz="4" w:space="0"/>
            </w:tcBorders>
            <w:shd w:val="clear" w:color="auto" w:fill="D9E2F3"/>
            <w:vAlign w:val="center"/>
          </w:tcPr>
          <w:p w14:paraId="4174D0D8">
            <w:pPr>
              <w:jc w:val="center"/>
              <w:rPr>
                <w:rFonts w:asciiTheme="majorHAnsi" w:hAnsiTheme="majorHAnsi" w:cstheme="majorHAnsi"/>
                <w:sz w:val="22"/>
                <w:szCs w:val="22"/>
              </w:rPr>
            </w:pPr>
            <w:r>
              <w:rPr>
                <w:rFonts w:eastAsia="Malacitana-Sans" w:asciiTheme="majorHAnsi" w:hAnsiTheme="majorHAnsi" w:cstheme="majorHAnsi"/>
                <w:b/>
                <w:sz w:val="22"/>
                <w:szCs w:val="22"/>
              </w:rPr>
              <w:t>ERASMUS+ KA171 PROJECT</w:t>
            </w:r>
          </w:p>
        </w:tc>
        <w:tc>
          <w:tcPr>
            <w:tcW w:w="5102" w:type="dxa"/>
            <w:tcBorders>
              <w:top w:val="single" w:color="808080" w:sz="4" w:space="0"/>
              <w:left w:val="single" w:color="808080" w:sz="4" w:space="0"/>
              <w:bottom w:val="single" w:color="808080" w:sz="4" w:space="0"/>
              <w:right w:val="single" w:color="808080" w:sz="4" w:space="0"/>
            </w:tcBorders>
            <w:shd w:val="clear" w:color="auto" w:fill="D9E2F3"/>
            <w:vAlign w:val="center"/>
          </w:tcPr>
          <w:p w14:paraId="397CBB92">
            <w:pPr>
              <w:jc w:val="center"/>
              <w:rPr>
                <w:rFonts w:asciiTheme="majorHAnsi" w:hAnsiTheme="majorHAnsi" w:cstheme="majorHAnsi"/>
                <w:sz w:val="22"/>
                <w:szCs w:val="22"/>
              </w:rPr>
            </w:pPr>
            <w:r>
              <w:rPr>
                <w:rFonts w:eastAsia="Malacitana-Sans" w:asciiTheme="majorHAnsi" w:hAnsiTheme="majorHAnsi" w:cstheme="majorHAnsi"/>
                <w:b/>
                <w:sz w:val="22"/>
                <w:szCs w:val="22"/>
              </w:rPr>
              <w:t>PROJECT NUMBER</w:t>
            </w:r>
          </w:p>
        </w:tc>
      </w:tr>
      <w:tr w14:paraId="01B2F6DB">
        <w:tblPrEx>
          <w:tblCellMar>
            <w:top w:w="100" w:type="dxa"/>
            <w:left w:w="100" w:type="dxa"/>
            <w:bottom w:w="100" w:type="dxa"/>
            <w:right w:w="100" w:type="dxa"/>
          </w:tblCellMar>
        </w:tblPrEx>
        <w:trPr>
          <w:jc w:val="center"/>
        </w:trPr>
        <w:tc>
          <w:tcPr>
            <w:tcW w:w="3402" w:type="dxa"/>
            <w:tcBorders>
              <w:top w:val="single" w:color="808080" w:sz="4" w:space="0"/>
              <w:left w:val="single" w:color="808080" w:sz="4" w:space="0"/>
              <w:bottom w:val="single" w:color="808080" w:sz="4" w:space="0"/>
              <w:right w:val="single" w:color="808080" w:sz="4" w:space="0"/>
            </w:tcBorders>
            <w:vAlign w:val="center"/>
          </w:tcPr>
          <w:p w14:paraId="35E2866B">
            <w:r>
              <w:t>2025 PROJECT</w:t>
            </w:r>
          </w:p>
        </w:tc>
        <w:tc>
          <w:tcPr>
            <w:tcW w:w="5102" w:type="dxa"/>
            <w:tcBorders>
              <w:top w:val="single" w:color="808080" w:sz="4" w:space="0"/>
              <w:left w:val="single" w:color="808080" w:sz="4" w:space="0"/>
              <w:bottom w:val="single" w:color="808080" w:sz="4" w:space="0"/>
              <w:right w:val="single" w:color="808080" w:sz="4" w:space="0"/>
            </w:tcBorders>
            <w:vAlign w:val="center"/>
          </w:tcPr>
          <w:p w14:paraId="538BD47C">
            <w:r>
              <w:t>2025-1-ES01-KA171-HED-000326309</w:t>
            </w:r>
          </w:p>
        </w:tc>
      </w:tr>
      <w:tr w14:paraId="6DBA92B9">
        <w:tblPrEx>
          <w:tblCellMar>
            <w:top w:w="100" w:type="dxa"/>
            <w:left w:w="100" w:type="dxa"/>
            <w:bottom w:w="100" w:type="dxa"/>
            <w:right w:w="100" w:type="dxa"/>
          </w:tblCellMar>
        </w:tblPrEx>
        <w:trPr>
          <w:jc w:val="center"/>
        </w:trPr>
        <w:tc>
          <w:tcPr>
            <w:tcW w:w="3402" w:type="dxa"/>
            <w:tcBorders>
              <w:top w:val="single" w:color="808080" w:sz="4" w:space="0"/>
              <w:left w:val="single" w:color="808080" w:sz="4" w:space="0"/>
              <w:bottom w:val="single" w:color="808080" w:sz="4" w:space="0"/>
              <w:right w:val="single" w:color="808080" w:sz="4" w:space="0"/>
            </w:tcBorders>
            <w:vAlign w:val="center"/>
          </w:tcPr>
          <w:p w14:paraId="1120F4B7">
            <w:r>
              <w:t>2026 PROJECT</w:t>
            </w:r>
          </w:p>
        </w:tc>
        <w:tc>
          <w:tcPr>
            <w:tcW w:w="5102" w:type="dxa"/>
            <w:tcBorders>
              <w:top w:val="single" w:color="808080" w:sz="4" w:space="0"/>
              <w:left w:val="single" w:color="808080" w:sz="4" w:space="0"/>
              <w:bottom w:val="single" w:color="808080" w:sz="4" w:space="0"/>
              <w:right w:val="single" w:color="808080" w:sz="4" w:space="0"/>
            </w:tcBorders>
            <w:vAlign w:val="center"/>
          </w:tcPr>
          <w:p w14:paraId="1B71BC67">
            <w:r>
              <w:t>2026-1-ES01-KA171-HED-000434026</w:t>
            </w:r>
          </w:p>
        </w:tc>
      </w:tr>
    </w:tbl>
    <w:p w14:paraId="0000000C">
      <w:pPr>
        <w:jc w:val="both"/>
        <w:rPr>
          <w:rFonts w:eastAsia="Malacitana-Sans" w:asciiTheme="majorHAnsi" w:hAnsiTheme="majorHAnsi" w:cstheme="majorHAnsi"/>
          <w:sz w:val="22"/>
          <w:szCs w:val="22"/>
          <w:u w:val="single"/>
        </w:rPr>
      </w:pPr>
    </w:p>
    <w:p w14:paraId="0000001D">
      <w:pPr>
        <w:jc w:val="both"/>
        <w:rPr>
          <w:rFonts w:eastAsia="Malacitana-Sans" w:asciiTheme="majorHAnsi" w:hAnsiTheme="majorHAnsi" w:cstheme="majorHAnsi"/>
          <w:sz w:val="22"/>
          <w:szCs w:val="22"/>
        </w:rPr>
      </w:pPr>
    </w:p>
    <w:p w14:paraId="0000001E">
      <w:pPr>
        <w:jc w:val="both"/>
        <w:rPr>
          <w:rFonts w:eastAsia="Malacitana-Sans" w:asciiTheme="majorHAnsi" w:hAnsiTheme="majorHAnsi" w:cstheme="majorHAnsi"/>
          <w:sz w:val="22"/>
          <w:szCs w:val="22"/>
        </w:rPr>
      </w:pPr>
    </w:p>
    <w:p w14:paraId="0000001F">
      <w:pPr>
        <w:jc w:val="both"/>
        <w:rPr>
          <w:rFonts w:eastAsia="Malacitana-Sans" w:asciiTheme="majorHAnsi" w:hAnsiTheme="majorHAnsi" w:cstheme="majorHAnsi"/>
          <w:sz w:val="22"/>
          <w:szCs w:val="22"/>
        </w:rPr>
      </w:pPr>
      <w:r>
        <w:rPr>
          <w:rFonts w:eastAsia="Malacitana-Sans" w:asciiTheme="majorHAnsi" w:hAnsiTheme="majorHAnsi" w:cstheme="majorHAnsi"/>
          <w:b/>
          <w:bCs/>
          <w:sz w:val="22"/>
          <w:szCs w:val="22"/>
        </w:rPr>
        <w:t>RULES OF THE CALL</w:t>
      </w:r>
    </w:p>
    <w:p w14:paraId="00000020">
      <w:pPr>
        <w:jc w:val="both"/>
        <w:rPr>
          <w:rFonts w:eastAsia="Malacitana-Sans" w:asciiTheme="majorHAnsi" w:hAnsiTheme="majorHAnsi" w:cstheme="majorHAnsi"/>
          <w:sz w:val="22"/>
          <w:szCs w:val="22"/>
        </w:rPr>
      </w:pPr>
    </w:p>
    <w:p w14:paraId="00000021">
      <w:pPr>
        <w:numPr>
          <w:ilvl w:val="0"/>
          <w:numId w:val="2"/>
        </w:numPr>
        <w:pBdr>
          <w:top w:val="none" w:color="auto" w:sz="0" w:space="0"/>
          <w:left w:val="none" w:color="auto" w:sz="0" w:space="0"/>
          <w:bottom w:val="none" w:color="auto" w:sz="0" w:space="0"/>
          <w:right w:val="none" w:color="auto" w:sz="0" w:space="0"/>
          <w:between w:val="none" w:color="auto" w:sz="0" w:space="0"/>
        </w:pBdr>
        <w:spacing w:after="120"/>
        <w:jc w:val="both"/>
        <w:rPr>
          <w:rFonts w:eastAsia="Malacitana-Sans" w:asciiTheme="majorHAnsi" w:hAnsiTheme="majorHAnsi" w:cstheme="majorHAnsi"/>
          <w:color w:val="000000"/>
          <w:sz w:val="22"/>
          <w:szCs w:val="22"/>
        </w:rPr>
      </w:pPr>
      <w:r>
        <w:rPr>
          <w:rFonts w:eastAsia="Malacitana-Sans" w:asciiTheme="majorHAnsi" w:hAnsiTheme="majorHAnsi" w:cstheme="majorHAnsi"/>
          <w:b/>
          <w:bCs/>
          <w:color w:val="000000"/>
          <w:sz w:val="22"/>
          <w:szCs w:val="22"/>
        </w:rPr>
        <w:t>GENERAL CONDITIONS</w:t>
      </w:r>
    </w:p>
    <w:p w14:paraId="00000022">
      <w:pPr>
        <w:numPr>
          <w:ilvl w:val="0"/>
          <w:numId w:val="3"/>
        </w:numPr>
        <w:jc w:val="both"/>
        <w:rPr>
          <w:rFonts w:eastAsia="Malacitana-Sans" w:asciiTheme="majorHAnsi" w:hAnsiTheme="majorHAnsi" w:cstheme="majorHAnsi"/>
          <w:sz w:val="22"/>
          <w:szCs w:val="22"/>
        </w:rPr>
      </w:pPr>
      <w:r>
        <w:rPr>
          <w:rFonts w:eastAsia="Malacitana-Sans" w:asciiTheme="majorHAnsi" w:hAnsiTheme="majorHAnsi" w:cstheme="majorHAnsi"/>
          <w:sz w:val="22"/>
          <w:szCs w:val="22"/>
        </w:rPr>
        <w:t>The number of available places in this call corresponds to funding granted by the European Commission to the University of Huelva and is based on the inter-institutional agreement signed between the University of Huelva and Al-Quds University.</w:t>
      </w:r>
    </w:p>
    <w:p w14:paraId="00000023">
      <w:pPr>
        <w:jc w:val="both"/>
        <w:rPr>
          <w:rFonts w:eastAsia="Malacitana-Sans" w:asciiTheme="majorHAnsi" w:hAnsiTheme="majorHAnsi" w:cstheme="majorHAnsi"/>
          <w:sz w:val="22"/>
          <w:szCs w:val="22"/>
        </w:rPr>
      </w:pPr>
    </w:p>
    <w:p w14:paraId="14979E5C">
      <w:pPr>
        <w:pStyle w:val="36"/>
        <w:numPr>
          <w:ilvl w:val="0"/>
          <w:numId w:val="3"/>
        </w:numPr>
        <w:ind w:leftChars="0" w:firstLineChars="0"/>
        <w:jc w:val="both"/>
        <w:rPr>
          <w:rFonts w:eastAsia="Malacitana-Sans" w:asciiTheme="majorHAnsi" w:hAnsiTheme="majorHAnsi" w:cstheme="majorHAnsi"/>
          <w:lang w:val="en-US"/>
        </w:rPr>
      </w:pPr>
      <w:r>
        <w:rPr>
          <w:rFonts w:eastAsia="Malacitana-Sans" w:asciiTheme="majorHAnsi" w:hAnsiTheme="majorHAnsi" w:cstheme="majorHAnsi"/>
          <w:lang w:val="en-US"/>
        </w:rPr>
        <w:t xml:space="preserve">The mobility will take place for a 5 month period from February 2027 to June/July 2027.   </w:t>
      </w:r>
    </w:p>
    <w:p w14:paraId="00000025">
      <w:pPr>
        <w:jc w:val="both"/>
        <w:rPr>
          <w:rFonts w:eastAsia="Malacitana-Sans" w:asciiTheme="majorHAnsi" w:hAnsiTheme="majorHAnsi" w:cstheme="majorHAnsi"/>
          <w:sz w:val="22"/>
          <w:szCs w:val="22"/>
          <w:lang w:val="en-US"/>
        </w:rPr>
      </w:pPr>
    </w:p>
    <w:p w14:paraId="00000026">
      <w:pPr>
        <w:numPr>
          <w:ilvl w:val="0"/>
          <w:numId w:val="3"/>
        </w:numPr>
        <w:jc w:val="both"/>
        <w:rPr>
          <w:rFonts w:eastAsia="Malacitana-Sans" w:asciiTheme="majorHAnsi" w:hAnsiTheme="majorHAnsi" w:cstheme="majorHAnsi"/>
          <w:sz w:val="22"/>
          <w:szCs w:val="22"/>
        </w:rPr>
      </w:pPr>
      <w:r>
        <w:rPr>
          <w:rFonts w:eastAsia="Malacitana-Sans" w:asciiTheme="majorHAnsi" w:hAnsiTheme="majorHAnsi" w:cstheme="majorHAnsi"/>
          <w:sz w:val="22"/>
          <w:szCs w:val="22"/>
        </w:rPr>
        <w:t>Candidates should send applications and supporting documents to the Al-Quds University International Relations Office for screening.</w:t>
      </w:r>
    </w:p>
    <w:p w14:paraId="00000027">
      <w:pPr>
        <w:jc w:val="both"/>
        <w:rPr>
          <w:rFonts w:eastAsia="Malacitana-Sans" w:asciiTheme="majorHAnsi" w:hAnsiTheme="majorHAnsi" w:cstheme="majorHAnsi"/>
          <w:sz w:val="22"/>
          <w:szCs w:val="22"/>
        </w:rPr>
      </w:pPr>
    </w:p>
    <w:p w14:paraId="00000028">
      <w:pPr>
        <w:numPr>
          <w:ilvl w:val="0"/>
          <w:numId w:val="3"/>
        </w:numPr>
        <w:jc w:val="both"/>
        <w:rPr>
          <w:rFonts w:eastAsia="Malacitana-Sans" w:asciiTheme="majorHAnsi" w:hAnsiTheme="majorHAnsi" w:cstheme="majorHAnsi"/>
          <w:sz w:val="22"/>
          <w:szCs w:val="22"/>
        </w:rPr>
      </w:pPr>
      <w:r>
        <w:rPr>
          <w:rFonts w:eastAsia="Malacitana-Sans" w:asciiTheme="majorHAnsi" w:hAnsiTheme="majorHAnsi" w:cstheme="majorHAnsi"/>
          <w:sz w:val="22"/>
          <w:szCs w:val="22"/>
        </w:rPr>
        <w:t>F</w:t>
      </w:r>
      <w:r>
        <w:rPr>
          <w:rFonts w:eastAsia="Malacitana-Sans" w:asciiTheme="majorHAnsi" w:hAnsiTheme="majorHAnsi" w:cstheme="majorHAnsi"/>
          <w:b/>
          <w:bCs/>
          <w:sz w:val="22"/>
          <w:szCs w:val="22"/>
        </w:rPr>
        <w:t>inancial assistance</w:t>
      </w:r>
      <w:r>
        <w:rPr>
          <w:rFonts w:eastAsia="Malacitana-Sans" w:asciiTheme="majorHAnsi" w:hAnsiTheme="majorHAnsi" w:cstheme="majorHAnsi"/>
          <w:sz w:val="22"/>
          <w:szCs w:val="22"/>
        </w:rPr>
        <w:t xml:space="preserve"> is assigned to help cover maintenance and travel costs during the period of mobility, as specified in paragraph 7.</w:t>
      </w:r>
    </w:p>
    <w:p w14:paraId="00000029">
      <w:pPr>
        <w:jc w:val="both"/>
        <w:rPr>
          <w:rFonts w:eastAsia="Malacitana-Sans" w:asciiTheme="majorHAnsi" w:hAnsiTheme="majorHAnsi" w:cstheme="majorHAnsi"/>
          <w:sz w:val="22"/>
          <w:szCs w:val="22"/>
        </w:rPr>
      </w:pPr>
    </w:p>
    <w:p w14:paraId="0000002A">
      <w:pPr>
        <w:numPr>
          <w:ilvl w:val="0"/>
          <w:numId w:val="3"/>
        </w:numPr>
        <w:jc w:val="both"/>
        <w:rPr>
          <w:rFonts w:eastAsia="Malacitana-Sans" w:asciiTheme="majorHAnsi" w:hAnsiTheme="majorHAnsi" w:cstheme="majorHAnsi"/>
          <w:sz w:val="22"/>
          <w:szCs w:val="22"/>
        </w:rPr>
      </w:pPr>
      <w:r>
        <w:rPr>
          <w:rFonts w:eastAsia="Malacitana-Sans" w:asciiTheme="majorHAnsi" w:hAnsiTheme="majorHAnsi" w:cstheme="majorHAnsi"/>
          <w:sz w:val="22"/>
          <w:szCs w:val="22"/>
        </w:rPr>
        <w:t>Al-Quds University will be responsible for selecting and nominating selected participants as well as organizing preparation for, and recognition of the mobility period.</w:t>
      </w:r>
      <w:sdt>
        <w:sdtPr>
          <w:rPr>
            <w:rFonts w:eastAsia="Malacitana-Sans" w:asciiTheme="majorHAnsi" w:hAnsiTheme="majorHAnsi" w:cstheme="majorHAnsi"/>
            <w:sz w:val="22"/>
            <w:szCs w:val="22"/>
          </w:rPr>
          <w:tag w:val="goog_rdk_3"/>
          <w:id w:val="-1527310510"/>
          <w:showingPlcHdr/>
        </w:sdtPr>
        <w:sdtEndPr>
          <w:rPr>
            <w:rFonts w:asciiTheme="majorHAnsi" w:hAnsiTheme="majorHAnsi" w:cstheme="majorHAnsi"/>
            <w:sz w:val="22"/>
            <w:szCs w:val="22"/>
          </w:rPr>
        </w:sdtEndPr>
        <w:sdtContent>
          <w:r>
            <w:rPr>
              <w:rFonts w:eastAsia="Malacitana-Sans" w:asciiTheme="majorHAnsi" w:hAnsiTheme="majorHAnsi" w:cstheme="majorHAnsi"/>
              <w:sz w:val="22"/>
              <w:szCs w:val="22"/>
            </w:rPr>
            <w:t xml:space="preserve">     </w:t>
          </w:r>
        </w:sdtContent>
      </w:sdt>
    </w:p>
    <w:p w14:paraId="0000002B">
      <w:pPr>
        <w:numPr>
          <w:ilvl w:val="0"/>
          <w:numId w:val="3"/>
        </w:numPr>
        <w:spacing w:before="120" w:after="120"/>
        <w:jc w:val="both"/>
        <w:rPr>
          <w:rFonts w:eastAsia="Malacitana-Sans" w:asciiTheme="majorHAnsi" w:hAnsiTheme="majorHAnsi" w:cstheme="majorHAnsi"/>
          <w:sz w:val="22"/>
          <w:szCs w:val="22"/>
        </w:rPr>
      </w:pPr>
      <w:r>
        <w:rPr>
          <w:rFonts w:asciiTheme="majorHAnsi" w:hAnsiTheme="majorHAnsi" w:cstheme="majorHAnsi"/>
          <w:sz w:val="22"/>
          <w:szCs w:val="22"/>
        </w:rPr>
        <w:t xml:space="preserve">Al-Quds University will publish the provisional and definitive lists of selected and excluded candidates on its website. </w:t>
      </w:r>
    </w:p>
    <w:p w14:paraId="0000002C">
      <w:pPr>
        <w:numPr>
          <w:ilvl w:val="0"/>
          <w:numId w:val="3"/>
        </w:numPr>
        <w:spacing w:before="120" w:after="120"/>
        <w:jc w:val="both"/>
        <w:rPr>
          <w:rFonts w:eastAsia="Malacitana-Sans" w:asciiTheme="majorHAnsi" w:hAnsiTheme="majorHAnsi" w:cstheme="majorHAnsi"/>
          <w:sz w:val="22"/>
          <w:szCs w:val="22"/>
        </w:rPr>
      </w:pPr>
      <w:r>
        <w:rPr>
          <w:rFonts w:eastAsia="Malacitana-Sans" w:asciiTheme="majorHAnsi" w:hAnsiTheme="majorHAnsi" w:cstheme="majorHAnsi"/>
          <w:sz w:val="22"/>
          <w:szCs w:val="22"/>
        </w:rPr>
        <w:t>Selected candidates will receive instructions from the University of Huelva to complete all the steps required before, during and after their mobilities.</w:t>
      </w:r>
    </w:p>
    <w:p w14:paraId="0000002E">
      <w:pPr>
        <w:jc w:val="both"/>
        <w:rPr>
          <w:rFonts w:eastAsia="Malacitana-Sans" w:asciiTheme="majorHAnsi" w:hAnsiTheme="majorHAnsi" w:cstheme="majorHAnsi"/>
          <w:sz w:val="22"/>
          <w:szCs w:val="22"/>
        </w:rPr>
      </w:pPr>
    </w:p>
    <w:p w14:paraId="0000002F">
      <w:pPr>
        <w:numPr>
          <w:ilvl w:val="0"/>
          <w:numId w:val="2"/>
        </w:numPr>
        <w:pBdr>
          <w:top w:val="none" w:color="auto" w:sz="0" w:space="0"/>
          <w:left w:val="none" w:color="auto" w:sz="0" w:space="0"/>
          <w:bottom w:val="none" w:color="auto" w:sz="0" w:space="0"/>
          <w:right w:val="none" w:color="auto" w:sz="0" w:space="0"/>
          <w:between w:val="none" w:color="auto" w:sz="0" w:space="0"/>
        </w:pBdr>
        <w:spacing w:after="120"/>
        <w:jc w:val="both"/>
        <w:rPr>
          <w:rFonts w:eastAsia="Malacitana-Sans" w:asciiTheme="majorHAnsi" w:hAnsiTheme="majorHAnsi" w:cstheme="majorHAnsi"/>
          <w:color w:val="000000"/>
          <w:sz w:val="22"/>
          <w:szCs w:val="22"/>
        </w:rPr>
      </w:pPr>
      <w:r>
        <w:rPr>
          <w:rFonts w:eastAsia="Malacitana-Sans" w:asciiTheme="majorHAnsi" w:hAnsiTheme="majorHAnsi" w:cstheme="majorHAnsi"/>
          <w:b/>
          <w:bCs/>
          <w:color w:val="000000"/>
          <w:sz w:val="22"/>
          <w:szCs w:val="22"/>
        </w:rPr>
        <w:t>GENERAL REQUIREMENTS OF PARTICIPANTS</w:t>
      </w:r>
    </w:p>
    <w:p w14:paraId="00000030">
      <w:pPr>
        <w:jc w:val="both"/>
        <w:rPr>
          <w:rFonts w:eastAsia="Malacitana-Sans" w:asciiTheme="majorHAnsi" w:hAnsiTheme="majorHAnsi" w:cstheme="majorHAnsi"/>
          <w:sz w:val="22"/>
          <w:szCs w:val="22"/>
        </w:rPr>
      </w:pPr>
      <w:r>
        <w:rPr>
          <w:rFonts w:eastAsia="Malacitana-Sans" w:asciiTheme="majorHAnsi" w:hAnsiTheme="majorHAnsi" w:cstheme="majorHAnsi"/>
          <w:sz w:val="22"/>
          <w:szCs w:val="22"/>
        </w:rPr>
        <w:t>To participate in this call for Erasmus mobility, applicants must meet the following requirements:</w:t>
      </w:r>
    </w:p>
    <w:p w14:paraId="00000031">
      <w:pPr>
        <w:pBdr>
          <w:top w:val="none" w:color="auto" w:sz="0" w:space="0"/>
          <w:left w:val="none" w:color="auto" w:sz="0" w:space="0"/>
          <w:bottom w:val="none" w:color="auto" w:sz="0" w:space="0"/>
          <w:right w:val="none" w:color="auto" w:sz="0" w:space="0"/>
          <w:between w:val="none" w:color="auto" w:sz="0" w:space="0"/>
        </w:pBdr>
        <w:spacing w:line="276" w:lineRule="auto"/>
        <w:ind w:left="720"/>
        <w:jc w:val="both"/>
        <w:rPr>
          <w:rFonts w:eastAsia="Malacitana-Sans" w:asciiTheme="majorHAnsi" w:hAnsiTheme="majorHAnsi" w:cstheme="majorHAnsi"/>
          <w:color w:val="000000"/>
          <w:sz w:val="22"/>
          <w:szCs w:val="22"/>
        </w:rPr>
      </w:pPr>
    </w:p>
    <w:p w14:paraId="00000032">
      <w:pPr>
        <w:numPr>
          <w:ilvl w:val="0"/>
          <w:numId w:val="4"/>
        </w:numPr>
        <w:pBdr>
          <w:top w:val="none" w:color="auto" w:sz="0" w:space="0"/>
          <w:left w:val="none" w:color="auto" w:sz="0" w:space="0"/>
          <w:bottom w:val="none" w:color="auto" w:sz="0" w:space="0"/>
          <w:right w:val="none" w:color="auto" w:sz="0" w:space="0"/>
          <w:between w:val="none" w:color="auto" w:sz="0" w:space="0"/>
        </w:pBdr>
        <w:spacing w:after="120" w:line="276" w:lineRule="auto"/>
        <w:ind w:left="714" w:hanging="357"/>
        <w:jc w:val="both"/>
        <w:rPr>
          <w:rFonts w:asciiTheme="majorHAnsi" w:hAnsiTheme="majorHAnsi" w:cstheme="majorHAnsi"/>
          <w:color w:val="000000"/>
          <w:sz w:val="22"/>
          <w:szCs w:val="22"/>
        </w:rPr>
      </w:pPr>
      <w:r>
        <w:rPr>
          <w:rFonts w:eastAsia="Malacitana-Sans" w:asciiTheme="majorHAnsi" w:hAnsiTheme="majorHAnsi" w:cstheme="majorHAnsi"/>
          <w:color w:val="000000"/>
          <w:sz w:val="22"/>
          <w:szCs w:val="22"/>
        </w:rPr>
        <w:t>Being enrolled as a student at Al-Quds University at the time of applying and during the entire period of the mobility. The mobility must not take place in the country of residence of the participant.</w:t>
      </w:r>
    </w:p>
    <w:p w14:paraId="00000033">
      <w:pPr>
        <w:jc w:val="both"/>
        <w:rPr>
          <w:rFonts w:eastAsia="Malacitana-Sans" w:asciiTheme="majorHAnsi" w:hAnsiTheme="majorHAnsi" w:cstheme="majorHAnsi"/>
          <w:sz w:val="22"/>
          <w:szCs w:val="22"/>
        </w:rPr>
      </w:pPr>
    </w:p>
    <w:p w14:paraId="00000034">
      <w:pPr>
        <w:numPr>
          <w:ilvl w:val="0"/>
          <w:numId w:val="2"/>
        </w:numPr>
        <w:pBdr>
          <w:top w:val="none" w:color="auto" w:sz="0" w:space="0"/>
          <w:left w:val="none" w:color="auto" w:sz="0" w:space="0"/>
          <w:bottom w:val="none" w:color="auto" w:sz="0" w:space="0"/>
          <w:right w:val="none" w:color="auto" w:sz="0" w:space="0"/>
          <w:between w:val="none" w:color="auto" w:sz="0" w:space="0"/>
        </w:pBdr>
        <w:spacing w:after="120"/>
        <w:jc w:val="both"/>
        <w:rPr>
          <w:rFonts w:eastAsia="Malacitana-Sans" w:asciiTheme="majorHAnsi" w:hAnsiTheme="majorHAnsi" w:cstheme="majorHAnsi"/>
          <w:color w:val="000000"/>
          <w:sz w:val="22"/>
          <w:szCs w:val="22"/>
        </w:rPr>
      </w:pPr>
      <w:r>
        <w:rPr>
          <w:rFonts w:eastAsia="Malacitana-Sans" w:asciiTheme="majorHAnsi" w:hAnsiTheme="majorHAnsi" w:cstheme="majorHAnsi"/>
          <w:b/>
          <w:bCs/>
          <w:color w:val="000000"/>
          <w:sz w:val="22"/>
          <w:szCs w:val="22"/>
        </w:rPr>
        <w:t>APPLICATION PROCEDURE.</w:t>
      </w:r>
    </w:p>
    <w:p w14:paraId="00000035">
      <w:pPr>
        <w:pBdr>
          <w:top w:val="none" w:color="auto" w:sz="0" w:space="0"/>
          <w:left w:val="none" w:color="auto" w:sz="0" w:space="0"/>
          <w:bottom w:val="none" w:color="auto" w:sz="0" w:space="0"/>
          <w:right w:val="none" w:color="auto" w:sz="0" w:space="0"/>
          <w:between w:val="none" w:color="auto" w:sz="0" w:space="0"/>
        </w:pBdr>
        <w:ind w:firstLine="720"/>
        <w:jc w:val="both"/>
        <w:rPr>
          <w:rFonts w:eastAsia="Malacitana-Sans" w:asciiTheme="majorHAnsi" w:hAnsiTheme="majorHAnsi" w:cstheme="majorHAnsi"/>
          <w:color w:val="000000"/>
          <w:sz w:val="22"/>
          <w:szCs w:val="22"/>
        </w:rPr>
      </w:pPr>
      <w:r>
        <w:rPr>
          <w:rFonts w:eastAsia="Malacitana-Sans" w:asciiTheme="majorHAnsi" w:hAnsiTheme="majorHAnsi" w:cstheme="majorHAnsi"/>
          <w:color w:val="000000"/>
          <w:sz w:val="22"/>
          <w:szCs w:val="22"/>
        </w:rPr>
        <w:t>Candidates should send the following documents to the Al-Quds University International Relations Office through the procedure indicated in the call.</w:t>
      </w:r>
    </w:p>
    <w:p w14:paraId="00000037">
      <w:pPr>
        <w:numPr>
          <w:ilvl w:val="0"/>
          <w:numId w:val="5"/>
        </w:numPr>
        <w:pBdr>
          <w:top w:val="none" w:color="auto" w:sz="0" w:space="0"/>
          <w:left w:val="none" w:color="auto" w:sz="0" w:space="0"/>
          <w:bottom w:val="none" w:color="auto" w:sz="0" w:space="0"/>
          <w:right w:val="none" w:color="auto" w:sz="0" w:space="0"/>
          <w:between w:val="none" w:color="auto" w:sz="0" w:space="0"/>
        </w:pBdr>
        <w:ind w:left="420" w:leftChars="0" w:hanging="420" w:firstLineChars="0"/>
        <w:jc w:val="both"/>
        <w:rPr>
          <w:rFonts w:eastAsia="Malacitana-Sans" w:asciiTheme="majorHAnsi" w:hAnsiTheme="majorHAnsi" w:cstheme="majorHAnsi"/>
          <w:color w:val="000000"/>
          <w:sz w:val="22"/>
          <w:szCs w:val="22"/>
        </w:rPr>
      </w:pPr>
      <w:r>
        <w:rPr>
          <w:rFonts w:eastAsia="Malacitana-Sans" w:asciiTheme="majorHAnsi" w:hAnsiTheme="majorHAnsi" w:cstheme="majorHAnsi"/>
          <w:color w:val="000000"/>
          <w:sz w:val="22"/>
          <w:szCs w:val="22"/>
        </w:rPr>
        <w:t xml:space="preserve">Motivation letter </w:t>
      </w:r>
    </w:p>
    <w:p w14:paraId="00000039">
      <w:pPr>
        <w:numPr>
          <w:ilvl w:val="0"/>
          <w:numId w:val="5"/>
        </w:numPr>
        <w:pBdr>
          <w:top w:val="none" w:color="auto" w:sz="0" w:space="0"/>
          <w:left w:val="none" w:color="auto" w:sz="0" w:space="0"/>
          <w:bottom w:val="none" w:color="auto" w:sz="0" w:space="0"/>
          <w:right w:val="none" w:color="auto" w:sz="0" w:space="0"/>
          <w:between w:val="none" w:color="auto" w:sz="0" w:space="0"/>
        </w:pBdr>
        <w:ind w:left="420" w:leftChars="0" w:hanging="420" w:firstLineChars="0"/>
        <w:jc w:val="both"/>
        <w:rPr>
          <w:rFonts w:eastAsia="Malacitana-Sans" w:asciiTheme="majorHAnsi" w:hAnsiTheme="majorHAnsi" w:cstheme="majorHAnsi"/>
          <w:color w:val="000000"/>
          <w:sz w:val="22"/>
          <w:szCs w:val="22"/>
        </w:rPr>
      </w:pPr>
      <w:r>
        <w:rPr>
          <w:rFonts w:eastAsia="Malacitana-Sans" w:asciiTheme="majorHAnsi" w:hAnsiTheme="majorHAnsi" w:cstheme="majorHAnsi"/>
          <w:color w:val="000000"/>
          <w:sz w:val="22"/>
          <w:szCs w:val="22"/>
        </w:rPr>
        <w:t>Document showing disability/disadvantaged background condition (if applicable)</w:t>
      </w:r>
    </w:p>
    <w:p w14:paraId="0000003A">
      <w:pPr>
        <w:numPr>
          <w:ilvl w:val="0"/>
          <w:numId w:val="5"/>
        </w:numPr>
        <w:pBdr>
          <w:top w:val="none" w:color="auto" w:sz="0" w:space="0"/>
          <w:left w:val="none" w:color="auto" w:sz="0" w:space="0"/>
          <w:bottom w:val="none" w:color="auto" w:sz="0" w:space="0"/>
          <w:right w:val="none" w:color="auto" w:sz="0" w:space="0"/>
          <w:between w:val="none" w:color="auto" w:sz="0" w:space="0"/>
        </w:pBdr>
        <w:ind w:left="420" w:leftChars="0" w:hanging="420" w:firstLineChars="0"/>
        <w:jc w:val="both"/>
        <w:rPr>
          <w:rFonts w:eastAsia="Malacitana-Sans" w:asciiTheme="majorHAnsi" w:hAnsiTheme="majorHAnsi" w:cstheme="majorHAnsi"/>
          <w:color w:val="000000"/>
          <w:sz w:val="22"/>
          <w:szCs w:val="22"/>
        </w:rPr>
      </w:pPr>
      <w:r>
        <w:rPr>
          <w:rFonts w:eastAsia="Malacitana-Sans" w:asciiTheme="majorHAnsi" w:hAnsiTheme="majorHAnsi" w:cstheme="majorHAnsi"/>
          <w:color w:val="000000"/>
          <w:sz w:val="22"/>
          <w:szCs w:val="22"/>
        </w:rPr>
        <w:t xml:space="preserve">Certificate confirmation of Spanish and/or English language level </w:t>
      </w:r>
    </w:p>
    <w:p w14:paraId="0000003B">
      <w:pPr>
        <w:numPr>
          <w:ilvl w:val="0"/>
          <w:numId w:val="5"/>
        </w:numPr>
        <w:pBdr>
          <w:top w:val="none" w:color="auto" w:sz="0" w:space="0"/>
          <w:left w:val="none" w:color="auto" w:sz="0" w:space="0"/>
          <w:bottom w:val="none" w:color="auto" w:sz="0" w:space="0"/>
          <w:right w:val="none" w:color="auto" w:sz="0" w:space="0"/>
          <w:between w:val="none" w:color="auto" w:sz="0" w:space="0"/>
        </w:pBdr>
        <w:ind w:left="420" w:leftChars="0" w:hanging="420" w:firstLineChars="0"/>
        <w:jc w:val="both"/>
        <w:rPr>
          <w:rFonts w:eastAsia="Malacitana-Sans" w:asciiTheme="majorHAnsi" w:hAnsiTheme="majorHAnsi" w:cstheme="majorHAnsi"/>
          <w:color w:val="000000"/>
          <w:sz w:val="22"/>
          <w:szCs w:val="22"/>
        </w:rPr>
      </w:pPr>
      <w:r>
        <w:rPr>
          <w:rFonts w:eastAsia="Malacitana-Sans" w:asciiTheme="majorHAnsi" w:hAnsiTheme="majorHAnsi" w:cstheme="majorHAnsi"/>
          <w:color w:val="000000"/>
          <w:sz w:val="22"/>
          <w:szCs w:val="22"/>
        </w:rPr>
        <w:t xml:space="preserve">Document confirming that the candidate is enrolled at Al-Quds University at the time of </w:t>
      </w:r>
      <w:r>
        <w:rPr>
          <w:rFonts w:hint="default" w:eastAsia="Malacitana-Sans" w:asciiTheme="majorHAnsi" w:hAnsiTheme="majorHAnsi" w:cstheme="majorHAnsi"/>
          <w:color w:val="000000"/>
          <w:sz w:val="22"/>
          <w:szCs w:val="22"/>
          <w:lang w:val="en-US"/>
        </w:rPr>
        <w:tab/>
      </w:r>
      <w:r>
        <w:rPr>
          <w:rFonts w:eastAsia="Malacitana-Sans" w:asciiTheme="majorHAnsi" w:hAnsiTheme="majorHAnsi" w:cstheme="majorHAnsi"/>
          <w:color w:val="000000"/>
          <w:sz w:val="22"/>
          <w:szCs w:val="22"/>
        </w:rPr>
        <w:t>applying.</w:t>
      </w:r>
    </w:p>
    <w:p w14:paraId="0000003C">
      <w:pPr>
        <w:numPr>
          <w:ilvl w:val="0"/>
          <w:numId w:val="5"/>
        </w:numPr>
        <w:pBdr>
          <w:top w:val="none" w:color="auto" w:sz="0" w:space="0"/>
          <w:left w:val="none" w:color="auto" w:sz="0" w:space="0"/>
          <w:bottom w:val="none" w:color="auto" w:sz="0" w:space="0"/>
          <w:right w:val="none" w:color="auto" w:sz="0" w:space="0"/>
          <w:between w:val="none" w:color="auto" w:sz="0" w:space="0"/>
        </w:pBdr>
        <w:ind w:left="420" w:leftChars="0" w:hanging="420" w:firstLineChars="0"/>
        <w:jc w:val="both"/>
        <w:rPr>
          <w:rFonts w:eastAsia="Malacitana-Sans" w:asciiTheme="majorHAnsi" w:hAnsiTheme="majorHAnsi" w:cstheme="majorHAnsi"/>
          <w:color w:val="000000"/>
          <w:sz w:val="22"/>
          <w:szCs w:val="22"/>
        </w:rPr>
      </w:pPr>
      <w:r>
        <w:rPr>
          <w:rFonts w:eastAsia="Malacitana-Sans" w:asciiTheme="majorHAnsi" w:hAnsiTheme="majorHAnsi" w:cstheme="majorHAnsi"/>
          <w:color w:val="000000"/>
          <w:sz w:val="22"/>
          <w:szCs w:val="22"/>
        </w:rPr>
        <w:t>CV (if required by the Al-Quds University)</w:t>
      </w:r>
    </w:p>
    <w:p w14:paraId="7A727E61">
      <w:pPr>
        <w:numPr>
          <w:ilvl w:val="0"/>
          <w:numId w:val="5"/>
        </w:numPr>
        <w:pBdr>
          <w:top w:val="none" w:color="auto" w:sz="0" w:space="0"/>
          <w:left w:val="none" w:color="auto" w:sz="0" w:space="0"/>
          <w:bottom w:val="none" w:color="auto" w:sz="0" w:space="0"/>
          <w:right w:val="none" w:color="auto" w:sz="0" w:space="0"/>
          <w:between w:val="none" w:color="auto" w:sz="0" w:space="0"/>
        </w:pBdr>
        <w:ind w:left="420" w:leftChars="0" w:hanging="420" w:firstLineChars="0"/>
        <w:jc w:val="both"/>
        <w:rPr>
          <w:rFonts w:eastAsia="Malacitana-Sans" w:asciiTheme="majorHAnsi" w:hAnsiTheme="majorHAnsi" w:cstheme="majorHAnsi"/>
          <w:color w:val="000000"/>
          <w:sz w:val="22"/>
          <w:szCs w:val="22"/>
        </w:rPr>
      </w:pPr>
      <w:r>
        <w:rPr>
          <w:rFonts w:eastAsia="Malacitana-Sans" w:asciiTheme="majorHAnsi" w:hAnsiTheme="majorHAnsi" w:cstheme="majorHAnsi"/>
          <w:color w:val="000000"/>
          <w:sz w:val="22"/>
          <w:szCs w:val="22"/>
        </w:rPr>
        <w:t xml:space="preserve">Official documentation certifying disability or disadvantaged background (if applicable). </w:t>
      </w:r>
    </w:p>
    <w:p w14:paraId="741B0992">
      <w:pPr>
        <w:numPr>
          <w:numId w:val="0"/>
        </w:numPr>
        <w:pBdr>
          <w:top w:val="none" w:color="auto" w:sz="0" w:space="0"/>
          <w:left w:val="none" w:color="auto" w:sz="0" w:space="0"/>
          <w:bottom w:val="none" w:color="auto" w:sz="0" w:space="0"/>
          <w:right w:val="none" w:color="auto" w:sz="0" w:space="0"/>
          <w:between w:val="none" w:color="auto" w:sz="0" w:space="0"/>
        </w:pBdr>
        <w:ind w:leftChars="0"/>
        <w:jc w:val="both"/>
        <w:rPr>
          <w:rFonts w:eastAsia="Malacitana-Sans" w:asciiTheme="majorHAnsi" w:hAnsiTheme="majorHAnsi" w:cstheme="majorHAnsi"/>
          <w:color w:val="000000"/>
          <w:sz w:val="22"/>
          <w:szCs w:val="22"/>
        </w:rPr>
      </w:pPr>
    </w:p>
    <w:p w14:paraId="0000003D">
      <w:pPr>
        <w:numPr>
          <w:ilvl w:val="0"/>
          <w:numId w:val="5"/>
        </w:numPr>
        <w:pBdr>
          <w:top w:val="none" w:color="auto" w:sz="0" w:space="0"/>
          <w:left w:val="none" w:color="auto" w:sz="0" w:space="0"/>
          <w:bottom w:val="none" w:color="auto" w:sz="0" w:space="0"/>
          <w:right w:val="none" w:color="auto" w:sz="0" w:space="0"/>
          <w:between w:val="none" w:color="auto" w:sz="0" w:space="0"/>
        </w:pBdr>
        <w:ind w:left="420" w:leftChars="0" w:hanging="420" w:firstLineChars="0"/>
        <w:jc w:val="both"/>
        <w:rPr>
          <w:rFonts w:eastAsia="Malacitana-Sans" w:asciiTheme="majorHAnsi" w:hAnsiTheme="majorHAnsi" w:cstheme="majorHAnsi"/>
          <w:color w:val="000000"/>
          <w:sz w:val="22"/>
          <w:szCs w:val="22"/>
        </w:rPr>
      </w:pPr>
      <w:r>
        <w:rPr>
          <w:rFonts w:eastAsia="Malacitana-Sans" w:asciiTheme="majorHAnsi" w:hAnsiTheme="majorHAnsi" w:cstheme="majorHAnsi"/>
          <w:color w:val="000000"/>
          <w:sz w:val="22"/>
          <w:szCs w:val="22"/>
        </w:rPr>
        <w:t>For</w:t>
      </w:r>
      <w:r>
        <w:rPr>
          <w:rFonts w:hint="default" w:eastAsia="Malacitana-Sans" w:asciiTheme="majorHAnsi" w:hAnsiTheme="majorHAnsi" w:cstheme="majorHAnsi"/>
          <w:color w:val="000000"/>
          <w:sz w:val="22"/>
          <w:szCs w:val="22"/>
          <w:lang w:val="en-US"/>
        </w:rPr>
        <w:t xml:space="preserve"> </w:t>
      </w:r>
      <w:r>
        <w:rPr>
          <w:rFonts w:eastAsia="Malacitana-Sans" w:asciiTheme="majorHAnsi" w:hAnsiTheme="majorHAnsi" w:cstheme="majorHAnsi"/>
          <w:color w:val="000000"/>
          <w:sz w:val="22"/>
          <w:szCs w:val="22"/>
        </w:rPr>
        <w:t xml:space="preserve">further information, please contact the </w:t>
      </w:r>
      <w:r>
        <w:rPr>
          <w:rFonts w:hint="default" w:eastAsia="Malacitana-Sans" w:asciiTheme="majorHAnsi" w:hAnsiTheme="majorHAnsi" w:cstheme="majorHAnsi"/>
          <w:color w:val="000000"/>
          <w:sz w:val="22"/>
          <w:szCs w:val="22"/>
          <w:lang w:val="en-US"/>
        </w:rPr>
        <w:t>IAR</w:t>
      </w:r>
      <w:r>
        <w:rPr>
          <w:rFonts w:eastAsia="Malacitana-Sans" w:asciiTheme="majorHAnsi" w:hAnsiTheme="majorHAnsi" w:cstheme="majorHAnsi"/>
          <w:color w:val="000000"/>
          <w:sz w:val="22"/>
          <w:szCs w:val="22"/>
        </w:rPr>
        <w:t xml:space="preserve"> office at the Al-Quds University.</w:t>
      </w:r>
    </w:p>
    <w:p w14:paraId="0000003E">
      <w:pPr>
        <w:pBdr>
          <w:top w:val="none" w:color="auto" w:sz="0" w:space="0"/>
          <w:left w:val="none" w:color="auto" w:sz="0" w:space="0"/>
          <w:bottom w:val="none" w:color="auto" w:sz="0" w:space="0"/>
          <w:right w:val="none" w:color="auto" w:sz="0" w:space="0"/>
          <w:between w:val="none" w:color="auto" w:sz="0" w:space="0"/>
        </w:pBdr>
        <w:jc w:val="both"/>
        <w:rPr>
          <w:rFonts w:eastAsia="Malacitana-Sans" w:asciiTheme="majorHAnsi" w:hAnsiTheme="majorHAnsi" w:cstheme="majorHAnsi"/>
          <w:color w:val="000000"/>
          <w:sz w:val="22"/>
          <w:szCs w:val="22"/>
        </w:rPr>
      </w:pPr>
      <w:r>
        <w:rPr>
          <w:rFonts w:eastAsia="Malacitana-Sans" w:asciiTheme="majorHAnsi" w:hAnsiTheme="majorHAnsi" w:cstheme="majorHAnsi"/>
          <w:color w:val="000000"/>
          <w:sz w:val="22"/>
          <w:szCs w:val="22"/>
        </w:rPr>
        <w:t>Documents relating to other pertinent skills or professional formation (if applicable)</w:t>
      </w:r>
    </w:p>
    <w:p w14:paraId="63FC9BBC">
      <w:pPr>
        <w:pBdr>
          <w:top w:val="none" w:color="auto" w:sz="0" w:space="0"/>
          <w:left w:val="none" w:color="auto" w:sz="0" w:space="0"/>
          <w:bottom w:val="none" w:color="auto" w:sz="0" w:space="0"/>
          <w:right w:val="none" w:color="auto" w:sz="0" w:space="0"/>
          <w:between w:val="none" w:color="auto" w:sz="0" w:space="0"/>
        </w:pBdr>
        <w:jc w:val="both"/>
        <w:rPr>
          <w:rFonts w:eastAsia="Malacitana-Sans" w:asciiTheme="majorHAnsi" w:hAnsiTheme="majorHAnsi" w:cstheme="majorHAnsi"/>
          <w:color w:val="000000"/>
          <w:sz w:val="22"/>
          <w:szCs w:val="22"/>
        </w:rPr>
      </w:pPr>
    </w:p>
    <w:p w14:paraId="0000003F">
      <w:pPr>
        <w:pBdr>
          <w:top w:val="none" w:color="auto" w:sz="0" w:space="0"/>
          <w:left w:val="none" w:color="auto" w:sz="0" w:space="0"/>
          <w:bottom w:val="none" w:color="auto" w:sz="0" w:space="0"/>
          <w:right w:val="none" w:color="auto" w:sz="0" w:space="0"/>
          <w:between w:val="none" w:color="auto" w:sz="0" w:space="0"/>
        </w:pBdr>
        <w:jc w:val="both"/>
        <w:rPr>
          <w:rFonts w:hint="default" w:eastAsia="Malacitana-Sans" w:asciiTheme="majorHAnsi" w:hAnsiTheme="majorHAnsi" w:cstheme="majorHAnsi"/>
          <w:b/>
          <w:bCs/>
          <w:color w:val="000000"/>
          <w:sz w:val="22"/>
          <w:szCs w:val="22"/>
          <w:lang w:val="en-US"/>
        </w:rPr>
      </w:pPr>
      <w:bookmarkStart w:id="32" w:name="_GoBack"/>
      <w:r>
        <w:rPr>
          <w:rFonts w:eastAsia="Malacitana-Sans" w:asciiTheme="majorHAnsi" w:hAnsiTheme="majorHAnsi" w:cstheme="majorHAnsi"/>
          <w:b/>
          <w:bCs/>
          <w:color w:val="000000"/>
          <w:sz w:val="22"/>
          <w:szCs w:val="22"/>
        </w:rPr>
        <w:t>Link to application form and procedures</w:t>
      </w:r>
      <w:r>
        <w:rPr>
          <w:rFonts w:hint="default" w:eastAsia="Malacitana-Sans" w:asciiTheme="majorHAnsi" w:hAnsiTheme="majorHAnsi" w:cstheme="majorHAnsi"/>
          <w:b/>
          <w:bCs/>
          <w:color w:val="000000"/>
          <w:sz w:val="22"/>
          <w:szCs w:val="22"/>
          <w:lang w:val="en-US"/>
        </w:rPr>
        <w:t xml:space="preserve">: mobility.alquds.edu </w:t>
      </w:r>
    </w:p>
    <w:bookmarkEnd w:id="32"/>
    <w:p w14:paraId="2542A3A8">
      <w:pPr>
        <w:jc w:val="both"/>
        <w:rPr>
          <w:rFonts w:eastAsia="Malacitana-Sans" w:asciiTheme="majorHAnsi" w:hAnsiTheme="majorHAnsi" w:cstheme="majorHAnsi"/>
          <w:sz w:val="22"/>
          <w:szCs w:val="22"/>
        </w:rPr>
      </w:pPr>
    </w:p>
    <w:p w14:paraId="00000041">
      <w:pPr>
        <w:jc w:val="both"/>
        <w:rPr>
          <w:rFonts w:hint="default" w:eastAsia="Malacitana-Sans" w:asciiTheme="majorHAnsi" w:hAnsiTheme="majorHAnsi" w:cstheme="majorHAnsi"/>
          <w:b/>
          <w:bCs/>
          <w:i/>
          <w:iCs/>
          <w:sz w:val="22"/>
          <w:szCs w:val="22"/>
          <w:u w:val="single"/>
          <w:lang w:val="en-US"/>
        </w:rPr>
      </w:pPr>
      <w:r>
        <w:rPr>
          <w:rFonts w:eastAsia="Malacitana-Sans" w:asciiTheme="majorHAnsi" w:hAnsiTheme="majorHAnsi" w:cstheme="majorHAnsi"/>
          <w:b/>
          <w:bCs/>
          <w:i/>
          <w:iCs/>
          <w:sz w:val="22"/>
          <w:szCs w:val="22"/>
          <w:u w:val="single"/>
        </w:rPr>
        <w:t>Deadline for applications:</w:t>
      </w:r>
      <w:r>
        <w:rPr>
          <w:rFonts w:hint="default" w:eastAsia="Malacitana-Sans" w:asciiTheme="majorHAnsi" w:hAnsiTheme="majorHAnsi" w:cstheme="majorHAnsi"/>
          <w:b/>
          <w:bCs/>
          <w:i/>
          <w:iCs/>
          <w:sz w:val="22"/>
          <w:szCs w:val="22"/>
          <w:u w:val="single"/>
          <w:lang w:val="en-US"/>
        </w:rPr>
        <w:t xml:space="preserve"> 12</w:t>
      </w:r>
      <w:r>
        <w:rPr>
          <w:rFonts w:hint="default" w:eastAsia="Malacitana-Sans" w:asciiTheme="majorHAnsi" w:hAnsiTheme="majorHAnsi" w:cstheme="majorHAnsi"/>
          <w:b/>
          <w:bCs/>
          <w:i/>
          <w:iCs/>
          <w:sz w:val="22"/>
          <w:szCs w:val="22"/>
          <w:u w:val="single"/>
          <w:vertAlign w:val="superscript"/>
          <w:lang w:val="en-US"/>
        </w:rPr>
        <w:t>th</w:t>
      </w:r>
      <w:r>
        <w:rPr>
          <w:rFonts w:hint="default" w:eastAsia="Malacitana-Sans" w:asciiTheme="majorHAnsi" w:hAnsiTheme="majorHAnsi" w:cstheme="majorHAnsi"/>
          <w:b/>
          <w:bCs/>
          <w:i/>
          <w:iCs/>
          <w:sz w:val="22"/>
          <w:szCs w:val="22"/>
          <w:u w:val="single"/>
          <w:lang w:val="en-US"/>
        </w:rPr>
        <w:t xml:space="preserve"> October 2026</w:t>
      </w:r>
    </w:p>
    <w:p w14:paraId="00000043">
      <w:pPr>
        <w:jc w:val="both"/>
        <w:rPr>
          <w:rFonts w:eastAsia="Malacitana-Sans" w:asciiTheme="majorHAnsi" w:hAnsiTheme="majorHAnsi" w:cstheme="majorHAnsi"/>
          <w:sz w:val="22"/>
          <w:szCs w:val="22"/>
        </w:rPr>
      </w:pPr>
    </w:p>
    <w:p w14:paraId="00000044">
      <w:pPr>
        <w:numPr>
          <w:ilvl w:val="0"/>
          <w:numId w:val="2"/>
        </w:numPr>
        <w:pBdr>
          <w:top w:val="none" w:color="auto" w:sz="0" w:space="0"/>
          <w:left w:val="none" w:color="auto" w:sz="0" w:space="0"/>
          <w:bottom w:val="none" w:color="auto" w:sz="0" w:space="0"/>
          <w:right w:val="none" w:color="auto" w:sz="0" w:space="0"/>
          <w:between w:val="none" w:color="auto" w:sz="0" w:space="0"/>
        </w:pBdr>
        <w:spacing w:after="120"/>
        <w:jc w:val="both"/>
        <w:rPr>
          <w:rFonts w:eastAsia="Malacitana-Sans" w:asciiTheme="majorHAnsi" w:hAnsiTheme="majorHAnsi" w:cstheme="majorHAnsi"/>
          <w:color w:val="000000"/>
          <w:sz w:val="22"/>
          <w:szCs w:val="22"/>
        </w:rPr>
      </w:pPr>
      <w:r>
        <w:rPr>
          <w:rFonts w:eastAsia="Malacitana-Sans" w:asciiTheme="majorHAnsi" w:hAnsiTheme="majorHAnsi" w:cstheme="majorHAnsi"/>
          <w:b/>
          <w:bCs/>
          <w:color w:val="000000"/>
          <w:sz w:val="22"/>
          <w:szCs w:val="22"/>
        </w:rPr>
        <w:t>SELECTION OF PARTICIPANTS.</w:t>
      </w:r>
    </w:p>
    <w:p w14:paraId="00000045">
      <w:pPr>
        <w:jc w:val="both"/>
        <w:rPr>
          <w:rFonts w:eastAsia="Malacitana-Sans" w:asciiTheme="majorHAnsi" w:hAnsiTheme="majorHAnsi" w:cstheme="majorHAnsi"/>
          <w:color w:val="000000"/>
          <w:sz w:val="22"/>
          <w:szCs w:val="22"/>
        </w:rPr>
      </w:pPr>
      <w:r>
        <w:rPr>
          <w:rFonts w:eastAsia="Malacitana-Sans" w:asciiTheme="majorHAnsi" w:hAnsiTheme="majorHAnsi" w:cstheme="majorHAnsi"/>
          <w:sz w:val="22"/>
          <w:szCs w:val="22"/>
        </w:rPr>
        <w:t>The process of selecting participants at Al-Quds University must guarantee the principles of transparency, competition and equal competitive opportunities for all participants. The criteria for selecting participants are described below:</w:t>
      </w:r>
    </w:p>
    <w:p w14:paraId="00000046">
      <w:pPr>
        <w:spacing w:before="120" w:after="120"/>
        <w:jc w:val="both"/>
        <w:rPr>
          <w:rFonts w:eastAsia="Malacitana-Sans" w:asciiTheme="majorHAnsi" w:hAnsiTheme="majorHAnsi" w:cstheme="majorHAnsi"/>
          <w:color w:val="000000"/>
          <w:sz w:val="22"/>
          <w:szCs w:val="22"/>
          <w:highlight w:val="yellow"/>
        </w:rPr>
      </w:pPr>
    </w:p>
    <w:p w14:paraId="00000047">
      <w:pPr>
        <w:numPr>
          <w:ilvl w:val="0"/>
          <w:numId w:val="6"/>
        </w:numPr>
        <w:pBdr>
          <w:top w:val="none" w:color="auto" w:sz="0" w:space="0"/>
          <w:left w:val="none" w:color="auto" w:sz="0" w:space="0"/>
          <w:bottom w:val="none" w:color="auto" w:sz="0" w:space="0"/>
          <w:right w:val="none" w:color="auto" w:sz="0" w:space="0"/>
          <w:between w:val="none" w:color="auto" w:sz="0" w:space="0"/>
        </w:pBdr>
        <w:ind w:left="420" w:leftChars="0" w:hanging="420" w:firstLineChars="0"/>
        <w:jc w:val="both"/>
        <w:rPr>
          <w:rFonts w:eastAsia="Malacitana-Sans" w:asciiTheme="majorHAnsi" w:hAnsiTheme="majorHAnsi" w:cstheme="majorHAnsi"/>
          <w:color w:val="000000"/>
          <w:sz w:val="22"/>
          <w:szCs w:val="22"/>
        </w:rPr>
      </w:pPr>
      <w:r>
        <w:rPr>
          <w:rFonts w:eastAsia="Malacitana-Sans" w:asciiTheme="majorHAnsi" w:hAnsiTheme="majorHAnsi" w:cstheme="majorHAnsi"/>
          <w:color w:val="000000"/>
          <w:sz w:val="22"/>
          <w:szCs w:val="22"/>
        </w:rPr>
        <w:t>Academic record and relevance of the proposed study programme 60 points</w:t>
      </w:r>
    </w:p>
    <w:p w14:paraId="00000048">
      <w:pPr>
        <w:numPr>
          <w:ilvl w:val="0"/>
          <w:numId w:val="6"/>
        </w:numPr>
        <w:pBdr>
          <w:top w:val="none" w:color="auto" w:sz="0" w:space="0"/>
          <w:left w:val="none" w:color="auto" w:sz="0" w:space="0"/>
          <w:bottom w:val="none" w:color="auto" w:sz="0" w:space="0"/>
          <w:right w:val="none" w:color="auto" w:sz="0" w:space="0"/>
          <w:between w:val="none" w:color="auto" w:sz="0" w:space="0"/>
        </w:pBdr>
        <w:ind w:left="420" w:leftChars="0" w:hanging="420" w:firstLineChars="0"/>
        <w:jc w:val="both"/>
        <w:rPr>
          <w:rFonts w:eastAsia="Malacitana-Sans" w:asciiTheme="majorHAnsi" w:hAnsiTheme="majorHAnsi" w:cstheme="majorHAnsi"/>
          <w:color w:val="000000"/>
          <w:sz w:val="22"/>
          <w:szCs w:val="22"/>
        </w:rPr>
      </w:pPr>
      <w:r>
        <w:rPr>
          <w:rFonts w:eastAsia="Malacitana-Sans" w:asciiTheme="majorHAnsi" w:hAnsiTheme="majorHAnsi" w:cstheme="majorHAnsi"/>
          <w:color w:val="000000"/>
          <w:sz w:val="22"/>
          <w:szCs w:val="22"/>
        </w:rPr>
        <w:t>Certified level of language 20 points</w:t>
      </w:r>
    </w:p>
    <w:p w14:paraId="00000049">
      <w:pPr>
        <w:numPr>
          <w:ilvl w:val="0"/>
          <w:numId w:val="6"/>
        </w:numPr>
        <w:pBdr>
          <w:top w:val="none" w:color="auto" w:sz="0" w:space="0"/>
          <w:left w:val="none" w:color="auto" w:sz="0" w:space="0"/>
          <w:bottom w:val="none" w:color="auto" w:sz="0" w:space="0"/>
          <w:right w:val="none" w:color="auto" w:sz="0" w:space="0"/>
          <w:between w:val="none" w:color="auto" w:sz="0" w:space="0"/>
        </w:pBdr>
        <w:ind w:left="420" w:leftChars="0" w:hanging="420" w:firstLineChars="0"/>
        <w:jc w:val="both"/>
        <w:rPr>
          <w:rFonts w:eastAsia="Malacitana-Sans" w:asciiTheme="majorHAnsi" w:hAnsiTheme="majorHAnsi" w:cstheme="majorHAnsi"/>
          <w:color w:val="000000"/>
          <w:sz w:val="22"/>
          <w:szCs w:val="22"/>
        </w:rPr>
      </w:pPr>
      <w:r>
        <w:rPr>
          <w:rFonts w:eastAsia="Malacitana-Sans" w:asciiTheme="majorHAnsi" w:hAnsiTheme="majorHAnsi" w:cstheme="majorHAnsi"/>
          <w:color w:val="000000"/>
          <w:sz w:val="22"/>
          <w:szCs w:val="22"/>
        </w:rPr>
        <w:t>Motivation letter 10 points</w:t>
      </w:r>
    </w:p>
    <w:p w14:paraId="0000004A">
      <w:pPr>
        <w:numPr>
          <w:ilvl w:val="0"/>
          <w:numId w:val="6"/>
        </w:numPr>
        <w:pBdr>
          <w:top w:val="none" w:color="auto" w:sz="0" w:space="0"/>
          <w:left w:val="none" w:color="auto" w:sz="0" w:space="0"/>
          <w:bottom w:val="none" w:color="auto" w:sz="0" w:space="0"/>
          <w:right w:val="none" w:color="auto" w:sz="0" w:space="0"/>
          <w:between w:val="none" w:color="auto" w:sz="0" w:space="0"/>
        </w:pBdr>
        <w:ind w:left="420" w:leftChars="0" w:hanging="420" w:firstLineChars="0"/>
        <w:jc w:val="both"/>
        <w:rPr>
          <w:rFonts w:eastAsia="Malacitana-Sans" w:asciiTheme="majorHAnsi" w:hAnsiTheme="majorHAnsi" w:cstheme="majorHAnsi"/>
          <w:color w:val="000000"/>
          <w:sz w:val="22"/>
          <w:szCs w:val="22"/>
        </w:rPr>
      </w:pPr>
      <w:r>
        <w:rPr>
          <w:rFonts w:eastAsia="Malacitana-Sans" w:asciiTheme="majorHAnsi" w:hAnsiTheme="majorHAnsi" w:cstheme="majorHAnsi"/>
          <w:color w:val="000000"/>
          <w:sz w:val="22"/>
          <w:szCs w:val="22"/>
        </w:rPr>
        <w:t>Any other information specified by the candidate (additional skills or skills, specific academic interest, vulnerable socio-economic situation, etc.) 10 points</w:t>
      </w:r>
    </w:p>
    <w:p w14:paraId="3FD4B297">
      <w:pPr>
        <w:spacing w:line="276" w:lineRule="auto"/>
        <w:ind w:left="360"/>
        <w:jc w:val="both"/>
        <w:rPr>
          <w:rFonts w:eastAsia="Malacitana-Sans" w:asciiTheme="majorHAnsi" w:hAnsiTheme="majorHAnsi" w:cstheme="majorHAnsi"/>
          <w:color w:val="000000"/>
          <w:sz w:val="22"/>
          <w:szCs w:val="22"/>
          <w:highlight w:val="yellow"/>
        </w:rPr>
      </w:pPr>
    </w:p>
    <w:p w14:paraId="0000004B">
      <w:pPr>
        <w:keepNext/>
        <w:numPr>
          <w:ilvl w:val="0"/>
          <w:numId w:val="2"/>
        </w:numPr>
        <w:pBdr>
          <w:top w:val="none" w:color="auto" w:sz="0" w:space="0"/>
          <w:left w:val="none" w:color="auto" w:sz="0" w:space="0"/>
          <w:bottom w:val="none" w:color="auto" w:sz="0" w:space="0"/>
          <w:right w:val="none" w:color="auto" w:sz="0" w:space="0"/>
          <w:between w:val="none" w:color="auto" w:sz="0" w:space="0"/>
        </w:pBdr>
        <w:spacing w:after="120"/>
        <w:jc w:val="both"/>
        <w:rPr>
          <w:rFonts w:eastAsia="Malacitana-Sans" w:asciiTheme="majorHAnsi" w:hAnsiTheme="majorHAnsi" w:cstheme="majorHAnsi"/>
          <w:color w:val="000000"/>
          <w:sz w:val="22"/>
          <w:szCs w:val="22"/>
        </w:rPr>
      </w:pPr>
      <w:r>
        <w:rPr>
          <w:rFonts w:eastAsia="Malacitana-Sans" w:asciiTheme="majorHAnsi" w:hAnsiTheme="majorHAnsi" w:cstheme="majorHAnsi"/>
          <w:b/>
          <w:bCs/>
          <w:color w:val="000000"/>
          <w:sz w:val="22"/>
          <w:szCs w:val="22"/>
        </w:rPr>
        <w:t>OBLIGATIONS OF BENEFICIARIES</w:t>
      </w:r>
    </w:p>
    <w:p w14:paraId="0000004C">
      <w:pPr>
        <w:keepNext/>
        <w:widowControl w:val="0"/>
        <w:pBdr>
          <w:top w:val="none" w:color="auto" w:sz="0" w:space="0"/>
          <w:left w:val="none" w:color="auto" w:sz="0" w:space="0"/>
          <w:bottom w:val="none" w:color="auto" w:sz="0" w:space="0"/>
          <w:right w:val="none" w:color="auto" w:sz="0" w:space="0"/>
          <w:between w:val="none" w:color="auto" w:sz="0" w:space="0"/>
        </w:pBdr>
        <w:spacing w:after="120" w:line="288" w:lineRule="auto"/>
        <w:jc w:val="both"/>
        <w:rPr>
          <w:rFonts w:eastAsia="Malacitana-Sans" w:asciiTheme="majorHAnsi" w:hAnsiTheme="majorHAnsi" w:cstheme="majorHAnsi"/>
          <w:color w:val="000000"/>
          <w:sz w:val="22"/>
          <w:szCs w:val="22"/>
        </w:rPr>
      </w:pPr>
      <w:r>
        <w:t>Selected applicants who accept the Erasmus+ mobility shall comply with the following obligations:</w:t>
      </w:r>
    </w:p>
    <w:p w14:paraId="0000004D">
      <w:pPr>
        <w:widowControl w:val="0"/>
        <w:numPr>
          <w:ilvl w:val="0"/>
          <w:numId w:val="7"/>
        </w:numPr>
        <w:shd w:val="clear" w:color="auto" w:fill="FFFFFF"/>
        <w:spacing w:after="160"/>
        <w:ind w:left="426" w:firstLine="0"/>
        <w:jc w:val="both"/>
        <w:rPr>
          <w:rFonts w:eastAsia="Malacitana-Sans" w:asciiTheme="majorHAnsi" w:hAnsiTheme="majorHAnsi" w:cstheme="majorHAnsi"/>
          <w:sz w:val="22"/>
          <w:szCs w:val="22"/>
        </w:rPr>
      </w:pPr>
      <w:r>
        <w:rPr>
          <w:rFonts w:eastAsia="Malacitana-Sans" w:asciiTheme="majorHAnsi" w:hAnsiTheme="majorHAnsi" w:cstheme="majorHAnsi"/>
          <w:b/>
          <w:bCs/>
          <w:sz w:val="22"/>
          <w:szCs w:val="22"/>
        </w:rPr>
        <w:t>Acceptance: The participant should inform Al-Quds University of acceptance of the mobility place by email.</w:t>
      </w:r>
    </w:p>
    <w:p w14:paraId="0000004E">
      <w:pPr>
        <w:widowControl w:val="0"/>
        <w:numPr>
          <w:ilvl w:val="0"/>
          <w:numId w:val="7"/>
        </w:numPr>
        <w:shd w:val="clear" w:color="auto" w:fill="FFFFFF"/>
        <w:spacing w:after="160"/>
        <w:ind w:left="426" w:firstLine="0"/>
        <w:jc w:val="both"/>
        <w:rPr>
          <w:rFonts w:eastAsia="Malacitana-Sans" w:asciiTheme="majorHAnsi" w:hAnsiTheme="majorHAnsi" w:cstheme="majorHAnsi"/>
          <w:sz w:val="22"/>
          <w:szCs w:val="22"/>
        </w:rPr>
      </w:pPr>
      <w:r>
        <w:rPr>
          <w:rFonts w:eastAsia="Malacitana-Sans" w:asciiTheme="majorHAnsi" w:hAnsiTheme="majorHAnsi" w:cstheme="majorHAnsi"/>
          <w:b/>
          <w:bCs/>
          <w:sz w:val="22"/>
          <w:szCs w:val="22"/>
        </w:rPr>
        <w:t>Commitment</w:t>
      </w:r>
      <w:r>
        <w:rPr>
          <w:rFonts w:eastAsia="Malacitana-Sans" w:asciiTheme="majorHAnsi" w:hAnsiTheme="majorHAnsi" w:cstheme="majorHAnsi"/>
          <w:sz w:val="22"/>
          <w:szCs w:val="22"/>
        </w:rPr>
        <w:t>: Participants must comply with the following obligations:</w:t>
      </w:r>
    </w:p>
    <w:p w14:paraId="0000004F">
      <w:pPr>
        <w:widowControl w:val="0"/>
        <w:numPr>
          <w:ilvl w:val="0"/>
          <w:numId w:val="8"/>
        </w:numPr>
        <w:pBdr>
          <w:top w:val="none" w:color="auto" w:sz="0" w:space="0"/>
          <w:left w:val="none" w:color="auto" w:sz="0" w:space="0"/>
          <w:bottom w:val="none" w:color="auto" w:sz="0" w:space="0"/>
          <w:right w:val="none" w:color="auto" w:sz="0" w:space="0"/>
          <w:between w:val="none" w:color="auto" w:sz="0" w:space="0"/>
        </w:pBdr>
        <w:spacing w:after="120"/>
        <w:ind w:firstLine="5"/>
        <w:jc w:val="both"/>
        <w:rPr>
          <w:rFonts w:asciiTheme="majorHAnsi" w:hAnsiTheme="majorHAnsi" w:cstheme="majorHAnsi"/>
          <w:color w:val="000000"/>
          <w:sz w:val="22"/>
          <w:szCs w:val="22"/>
        </w:rPr>
      </w:pPr>
      <w:r>
        <w:rPr>
          <w:rFonts w:eastAsia="Malacitana-Sans" w:asciiTheme="majorHAnsi" w:hAnsiTheme="majorHAnsi" w:cstheme="majorHAnsi"/>
          <w:color w:val="000000"/>
          <w:sz w:val="22"/>
          <w:szCs w:val="22"/>
        </w:rPr>
        <w:t>Sign the Grant Agreement between the participant and the University of Huelva and any later amendments. The International Relations Office of the University of Huelva will provide the Grant Agreement before the start of the mobility period.</w:t>
      </w:r>
    </w:p>
    <w:p w14:paraId="00000050">
      <w:pPr>
        <w:numPr>
          <w:ilvl w:val="0"/>
          <w:numId w:val="8"/>
        </w:numPr>
        <w:pBdr>
          <w:top w:val="none" w:color="auto" w:sz="0" w:space="0"/>
          <w:left w:val="none" w:color="auto" w:sz="0" w:space="0"/>
          <w:bottom w:val="none" w:color="auto" w:sz="0" w:space="0"/>
          <w:right w:val="none" w:color="auto" w:sz="0" w:space="0"/>
          <w:between w:val="none" w:color="auto" w:sz="0" w:space="0"/>
        </w:pBdr>
        <w:spacing w:after="120"/>
        <w:ind w:firstLine="5"/>
        <w:jc w:val="both"/>
        <w:rPr>
          <w:rFonts w:asciiTheme="majorHAnsi" w:hAnsiTheme="majorHAnsi" w:cstheme="majorHAnsi"/>
          <w:color w:val="000000"/>
          <w:sz w:val="22"/>
          <w:szCs w:val="22"/>
        </w:rPr>
      </w:pPr>
      <w:r>
        <w:rPr>
          <w:rFonts w:eastAsia="Verdana" w:asciiTheme="majorHAnsi" w:hAnsiTheme="majorHAnsi" w:cstheme="majorHAnsi"/>
          <w:color w:val="000000"/>
          <w:sz w:val="22"/>
          <w:szCs w:val="22"/>
        </w:rPr>
        <w:t>Sign the corresponding Learning Agreement before departure. The University of Huelva International Relations Office will send information to participants for completion.</w:t>
      </w:r>
    </w:p>
    <w:p w14:paraId="00000051">
      <w:pPr>
        <w:numPr>
          <w:ilvl w:val="0"/>
          <w:numId w:val="8"/>
        </w:numPr>
        <w:pBdr>
          <w:top w:val="none" w:color="auto" w:sz="0" w:space="0"/>
          <w:left w:val="none" w:color="auto" w:sz="0" w:space="0"/>
          <w:bottom w:val="none" w:color="auto" w:sz="0" w:space="0"/>
          <w:right w:val="none" w:color="auto" w:sz="0" w:space="0"/>
          <w:between w:val="none" w:color="auto" w:sz="0" w:space="0"/>
        </w:pBdr>
        <w:spacing w:after="120"/>
        <w:ind w:firstLine="5"/>
        <w:jc w:val="both"/>
        <w:rPr>
          <w:rFonts w:asciiTheme="majorHAnsi" w:hAnsiTheme="majorHAnsi" w:cstheme="majorHAnsi"/>
          <w:color w:val="000000"/>
          <w:sz w:val="22"/>
          <w:szCs w:val="22"/>
        </w:rPr>
      </w:pPr>
      <w:r>
        <w:rPr>
          <w:rFonts w:eastAsia="Verdana" w:asciiTheme="majorHAnsi" w:hAnsiTheme="majorHAnsi" w:cstheme="majorHAnsi"/>
          <w:color w:val="000000"/>
          <w:sz w:val="22"/>
          <w:szCs w:val="22"/>
        </w:rPr>
        <w:t>Remain at the University of Huelva for the period indicated in the Learning Agreement and Grant Agreement. Failure to complete the established period may result in the loss of the right to receive the grant and subsequent recovery of payments made, if applicable.</w:t>
      </w:r>
    </w:p>
    <w:p w14:paraId="00000052">
      <w:pPr>
        <w:numPr>
          <w:ilvl w:val="0"/>
          <w:numId w:val="8"/>
        </w:numPr>
        <w:pBdr>
          <w:top w:val="none" w:color="auto" w:sz="0" w:space="0"/>
          <w:left w:val="none" w:color="auto" w:sz="0" w:space="0"/>
          <w:bottom w:val="none" w:color="auto" w:sz="0" w:space="0"/>
          <w:right w:val="none" w:color="auto" w:sz="0" w:space="0"/>
          <w:between w:val="none" w:color="auto" w:sz="0" w:space="0"/>
        </w:pBdr>
        <w:spacing w:after="120"/>
        <w:ind w:firstLine="5"/>
        <w:jc w:val="both"/>
        <w:rPr>
          <w:rFonts w:asciiTheme="majorHAnsi" w:hAnsiTheme="majorHAnsi" w:cstheme="majorHAnsi"/>
          <w:color w:val="000000"/>
          <w:sz w:val="22"/>
          <w:szCs w:val="22"/>
        </w:rPr>
      </w:pPr>
      <w:r>
        <w:rPr>
          <w:rFonts w:eastAsia="Verdana" w:asciiTheme="majorHAnsi" w:hAnsiTheme="majorHAnsi" w:cstheme="majorHAnsi"/>
          <w:color w:val="000000"/>
          <w:sz w:val="22"/>
          <w:szCs w:val="22"/>
        </w:rPr>
        <w:t>Participants should contact the University of Huelva International Relations Office after selection to agree on the courses to be taken and complete the corresponding Learning Agreement.</w:t>
      </w:r>
      <w:sdt>
        <w:sdtPr>
          <w:rPr>
            <w:rFonts w:asciiTheme="majorHAnsi" w:hAnsiTheme="majorHAnsi" w:cstheme="majorHAnsi"/>
            <w:sz w:val="22"/>
            <w:szCs w:val="22"/>
          </w:rPr>
          <w:tag w:val="goog_rdk_6"/>
          <w:id w:val="-27955391"/>
        </w:sdtPr>
        <w:sdtEndPr>
          <w:rPr>
            <w:rFonts w:asciiTheme="majorHAnsi" w:hAnsiTheme="majorHAnsi" w:cstheme="majorHAnsi"/>
            <w:sz w:val="22"/>
            <w:szCs w:val="22"/>
          </w:rPr>
        </w:sdtEndPr>
        <w:sdtContent/>
      </w:sdt>
    </w:p>
    <w:p w14:paraId="43BA16A0">
      <w:pPr>
        <w:pStyle w:val="38"/>
        <w:numPr>
          <w:ilvl w:val="0"/>
          <w:numId w:val="8"/>
        </w:numPr>
        <w:ind w:leftChars="0" w:firstLineChars="0"/>
        <w:jc w:val="both"/>
        <w:rPr>
          <w:rFonts w:asciiTheme="majorHAnsi" w:hAnsiTheme="majorHAnsi" w:cstheme="majorHAnsi"/>
          <w:b/>
          <w:sz w:val="22"/>
          <w:szCs w:val="22"/>
          <w:lang w:val="en-US"/>
        </w:rPr>
      </w:pPr>
      <w:r>
        <w:rPr>
          <w:rFonts w:asciiTheme="majorHAnsi" w:hAnsiTheme="majorHAnsi" w:cstheme="majorHAnsi"/>
          <w:sz w:val="22"/>
          <w:szCs w:val="22"/>
          <w:lang w:val="en-US"/>
        </w:rPr>
        <w:t>Students will study courses belonging to an official study programme at UHU. The grades and credits, included and approved by both universities in the Learning Agreement, obtained during the mobility period at UHU will be transferred to the official studies at Al-Quds University</w:t>
      </w:r>
    </w:p>
    <w:p w14:paraId="4C329C7E">
      <w:pPr>
        <w:pStyle w:val="38"/>
        <w:ind w:left="1080" w:leftChars="0" w:firstLine="0" w:firstLineChars="0"/>
        <w:jc w:val="both"/>
        <w:rPr>
          <w:rFonts w:asciiTheme="majorHAnsi" w:hAnsiTheme="majorHAnsi" w:cstheme="majorHAnsi"/>
          <w:b/>
          <w:sz w:val="22"/>
          <w:szCs w:val="22"/>
          <w:lang w:val="en-US"/>
        </w:rPr>
      </w:pPr>
    </w:p>
    <w:p w14:paraId="00000054">
      <w:pPr>
        <w:numPr>
          <w:ilvl w:val="0"/>
          <w:numId w:val="8"/>
        </w:numPr>
        <w:pBdr>
          <w:top w:val="none" w:color="auto" w:sz="0" w:space="0"/>
          <w:left w:val="none" w:color="auto" w:sz="0" w:space="0"/>
          <w:bottom w:val="none" w:color="auto" w:sz="0" w:space="0"/>
          <w:right w:val="none" w:color="auto" w:sz="0" w:space="0"/>
          <w:between w:val="none" w:color="auto" w:sz="0" w:space="0"/>
        </w:pBdr>
        <w:spacing w:after="120"/>
        <w:ind w:firstLine="5"/>
        <w:jc w:val="both"/>
        <w:rPr>
          <w:rFonts w:asciiTheme="majorHAnsi" w:hAnsiTheme="majorHAnsi" w:cstheme="majorHAnsi"/>
          <w:color w:val="000000"/>
          <w:sz w:val="22"/>
          <w:szCs w:val="22"/>
        </w:rPr>
      </w:pPr>
      <w:r>
        <w:rPr>
          <w:rFonts w:eastAsia="Verdana" w:asciiTheme="majorHAnsi" w:hAnsiTheme="majorHAnsi" w:cstheme="majorHAnsi"/>
          <w:color w:val="000000"/>
          <w:sz w:val="22"/>
          <w:szCs w:val="22"/>
        </w:rPr>
        <w:t xml:space="preserve"> </w:t>
      </w:r>
      <w:r>
        <w:rPr>
          <w:rFonts w:eastAsia="Malacitana-Sans" w:asciiTheme="majorHAnsi" w:hAnsiTheme="majorHAnsi" w:cstheme="majorHAnsi"/>
          <w:color w:val="000000"/>
          <w:sz w:val="22"/>
          <w:szCs w:val="22"/>
        </w:rPr>
        <w:t xml:space="preserve">Participants must complete the online </w:t>
      </w:r>
      <w:r>
        <w:rPr>
          <w:rFonts w:eastAsia="Malacitana-Sans" w:asciiTheme="majorHAnsi" w:hAnsiTheme="majorHAnsi" w:cstheme="majorHAnsi"/>
          <w:b/>
          <w:bCs/>
          <w:color w:val="000000"/>
          <w:sz w:val="22"/>
          <w:szCs w:val="22"/>
        </w:rPr>
        <w:t>Final Report</w:t>
      </w:r>
      <w:r>
        <w:rPr>
          <w:rFonts w:eastAsia="Malacitana-Sans" w:asciiTheme="majorHAnsi" w:hAnsiTheme="majorHAnsi" w:cstheme="majorHAnsi"/>
          <w:color w:val="000000"/>
          <w:sz w:val="22"/>
          <w:szCs w:val="22"/>
        </w:rPr>
        <w:t xml:space="preserve">, at the request of the European Commission, within a maximum period of </w:t>
      </w:r>
      <w:r>
        <w:rPr>
          <w:rFonts w:eastAsia="Malacitana-Sans" w:asciiTheme="majorHAnsi" w:hAnsiTheme="majorHAnsi" w:cstheme="majorHAnsi"/>
          <w:b/>
          <w:bCs/>
          <w:color w:val="000000"/>
          <w:sz w:val="22"/>
          <w:szCs w:val="22"/>
        </w:rPr>
        <w:t>thirty days following the mobility period.</w:t>
      </w:r>
    </w:p>
    <w:p w14:paraId="00000055">
      <w:pPr>
        <w:numPr>
          <w:ilvl w:val="0"/>
          <w:numId w:val="8"/>
        </w:numPr>
        <w:pBdr>
          <w:top w:val="none" w:color="auto" w:sz="0" w:space="0"/>
          <w:left w:val="none" w:color="auto" w:sz="0" w:space="0"/>
          <w:bottom w:val="none" w:color="auto" w:sz="0" w:space="0"/>
          <w:right w:val="none" w:color="auto" w:sz="0" w:space="0"/>
          <w:between w:val="none" w:color="auto" w:sz="0" w:space="0"/>
        </w:pBdr>
        <w:spacing w:after="120"/>
        <w:ind w:firstLine="5"/>
        <w:jc w:val="both"/>
        <w:rPr>
          <w:rFonts w:asciiTheme="majorHAnsi" w:hAnsiTheme="majorHAnsi" w:cstheme="majorHAnsi"/>
          <w:color w:val="000000"/>
          <w:sz w:val="22"/>
          <w:szCs w:val="22"/>
        </w:rPr>
      </w:pPr>
      <w:r>
        <w:rPr>
          <w:rFonts w:eastAsia="Verdana" w:asciiTheme="majorHAnsi" w:hAnsiTheme="majorHAnsi" w:cstheme="majorHAnsi"/>
          <w:color w:val="000000"/>
          <w:sz w:val="22"/>
          <w:szCs w:val="22"/>
        </w:rPr>
        <w:t>Participants must procure health insurance coverage for sickness, accidents and repatriation, effective from arrival at the University of Huelva. Before departure, participants should send evidence of insurance to the University of Huelva International Relations Office.</w:t>
      </w:r>
    </w:p>
    <w:p w14:paraId="00000056">
      <w:pPr>
        <w:numPr>
          <w:ilvl w:val="0"/>
          <w:numId w:val="8"/>
        </w:numPr>
        <w:pBdr>
          <w:top w:val="none" w:color="auto" w:sz="0" w:space="0"/>
          <w:left w:val="none" w:color="auto" w:sz="0" w:space="0"/>
          <w:bottom w:val="none" w:color="auto" w:sz="0" w:space="0"/>
          <w:right w:val="none" w:color="auto" w:sz="0" w:space="0"/>
          <w:between w:val="none" w:color="auto" w:sz="0" w:space="0"/>
        </w:pBdr>
        <w:spacing w:after="120"/>
        <w:ind w:firstLine="5"/>
        <w:jc w:val="both"/>
        <w:rPr>
          <w:rFonts w:asciiTheme="majorHAnsi" w:hAnsiTheme="majorHAnsi" w:cstheme="majorHAnsi"/>
          <w:color w:val="000000"/>
          <w:sz w:val="22"/>
          <w:szCs w:val="22"/>
        </w:rPr>
      </w:pPr>
      <w:r>
        <w:rPr>
          <w:rFonts w:eastAsia="Verdana" w:asciiTheme="majorHAnsi" w:hAnsiTheme="majorHAnsi" w:cstheme="majorHAnsi"/>
          <w:color w:val="000000"/>
          <w:sz w:val="22"/>
          <w:szCs w:val="22"/>
        </w:rPr>
        <w:t>Participants must apply for and obtain the corresponding visa in their country of origin. The University of Huelva will issue a letter of acceptance for this purpose.</w:t>
      </w:r>
    </w:p>
    <w:p w14:paraId="00000057">
      <w:pPr>
        <w:numPr>
          <w:ilvl w:val="0"/>
          <w:numId w:val="8"/>
        </w:numPr>
        <w:pBdr>
          <w:top w:val="none" w:color="auto" w:sz="0" w:space="0"/>
          <w:left w:val="none" w:color="auto" w:sz="0" w:space="0"/>
          <w:bottom w:val="none" w:color="auto" w:sz="0" w:space="0"/>
          <w:right w:val="none" w:color="auto" w:sz="0" w:space="0"/>
          <w:between w:val="none" w:color="auto" w:sz="0" w:space="0"/>
        </w:pBdr>
        <w:spacing w:after="120"/>
        <w:ind w:firstLine="5"/>
        <w:jc w:val="both"/>
        <w:rPr>
          <w:rFonts w:asciiTheme="majorHAnsi" w:hAnsiTheme="majorHAnsi" w:cstheme="majorHAnsi"/>
          <w:color w:val="000000"/>
          <w:sz w:val="22"/>
          <w:szCs w:val="22"/>
        </w:rPr>
      </w:pPr>
      <w:r>
        <w:rPr>
          <w:rFonts w:eastAsia="Verdana" w:asciiTheme="majorHAnsi" w:hAnsiTheme="majorHAnsi" w:cstheme="majorHAnsi"/>
          <w:color w:val="000000"/>
          <w:sz w:val="22"/>
          <w:szCs w:val="22"/>
        </w:rPr>
        <w:t xml:space="preserve"> </w:t>
      </w:r>
      <w:r>
        <w:rPr>
          <w:rFonts w:eastAsia="Malacitana-Sans" w:asciiTheme="majorHAnsi" w:hAnsiTheme="majorHAnsi" w:cstheme="majorHAnsi"/>
          <w:color w:val="000000"/>
          <w:sz w:val="22"/>
          <w:szCs w:val="22"/>
        </w:rPr>
        <w:t xml:space="preserve">Participants must organize and pay for travel in advance. </w:t>
      </w:r>
    </w:p>
    <w:p w14:paraId="00000058">
      <w:pPr>
        <w:numPr>
          <w:ilvl w:val="0"/>
          <w:numId w:val="8"/>
        </w:numPr>
        <w:pBdr>
          <w:top w:val="none" w:color="auto" w:sz="0" w:space="0"/>
          <w:left w:val="none" w:color="auto" w:sz="0" w:space="0"/>
          <w:bottom w:val="none" w:color="auto" w:sz="0" w:space="0"/>
          <w:right w:val="none" w:color="auto" w:sz="0" w:space="0"/>
          <w:between w:val="none" w:color="auto" w:sz="0" w:space="0"/>
        </w:pBdr>
        <w:spacing w:after="120"/>
        <w:ind w:firstLine="5"/>
        <w:jc w:val="both"/>
        <w:rPr>
          <w:rFonts w:asciiTheme="majorHAnsi" w:hAnsiTheme="majorHAnsi" w:cstheme="majorHAnsi"/>
          <w:color w:val="000000"/>
          <w:sz w:val="22"/>
          <w:szCs w:val="22"/>
        </w:rPr>
      </w:pPr>
      <w:r>
        <w:rPr>
          <w:rFonts w:eastAsia="Verdana" w:asciiTheme="majorHAnsi" w:hAnsiTheme="majorHAnsi" w:cstheme="majorHAnsi"/>
          <w:color w:val="000000"/>
          <w:sz w:val="22"/>
          <w:szCs w:val="22"/>
        </w:rPr>
        <w:t>In order to receive the funds, participants must follow the instructions sent by the University of Huelva International Relations Office.</w:t>
      </w:r>
    </w:p>
    <w:p w14:paraId="00000059">
      <w:pPr>
        <w:numPr>
          <w:ilvl w:val="0"/>
          <w:numId w:val="8"/>
        </w:numPr>
        <w:pBdr>
          <w:top w:val="none" w:color="auto" w:sz="0" w:space="0"/>
          <w:left w:val="none" w:color="auto" w:sz="0" w:space="0"/>
          <w:bottom w:val="none" w:color="auto" w:sz="0" w:space="0"/>
          <w:right w:val="none" w:color="auto" w:sz="0" w:space="0"/>
          <w:between w:val="none" w:color="auto" w:sz="0" w:space="0"/>
        </w:pBdr>
        <w:spacing w:after="120"/>
        <w:ind w:firstLine="5"/>
        <w:jc w:val="both"/>
        <w:rPr>
          <w:rFonts w:asciiTheme="majorHAnsi" w:hAnsiTheme="majorHAnsi" w:cstheme="majorHAnsi"/>
          <w:color w:val="000000"/>
          <w:sz w:val="22"/>
          <w:szCs w:val="22"/>
        </w:rPr>
      </w:pPr>
      <w:r>
        <w:rPr>
          <w:rFonts w:eastAsia="Verdana" w:asciiTheme="majorHAnsi" w:hAnsiTheme="majorHAnsi" w:cstheme="majorHAnsi"/>
          <w:color w:val="000000"/>
          <w:sz w:val="22"/>
          <w:szCs w:val="22"/>
        </w:rPr>
        <w:t>Participants will be responsible for finding accommodation in Huelva. The University of Huelva will provide support.</w:t>
      </w:r>
    </w:p>
    <w:p w14:paraId="0000005A">
      <w:pPr>
        <w:numPr>
          <w:ilvl w:val="0"/>
          <w:numId w:val="8"/>
        </w:numPr>
        <w:pBdr>
          <w:top w:val="none" w:color="auto" w:sz="0" w:space="0"/>
          <w:left w:val="none" w:color="auto" w:sz="0" w:space="0"/>
          <w:bottom w:val="none" w:color="auto" w:sz="0" w:space="0"/>
          <w:right w:val="none" w:color="auto" w:sz="0" w:space="0"/>
          <w:between w:val="none" w:color="auto" w:sz="0" w:space="0"/>
        </w:pBdr>
        <w:spacing w:after="120"/>
        <w:ind w:firstLine="5"/>
        <w:jc w:val="both"/>
        <w:rPr>
          <w:rFonts w:asciiTheme="majorHAnsi" w:hAnsiTheme="majorHAnsi" w:cstheme="majorHAnsi"/>
          <w:color w:val="000000"/>
          <w:sz w:val="22"/>
          <w:szCs w:val="22"/>
        </w:rPr>
      </w:pPr>
      <w:r>
        <w:rPr>
          <w:rFonts w:eastAsia="Verdana" w:asciiTheme="majorHAnsi" w:hAnsiTheme="majorHAnsi" w:cstheme="majorHAnsi"/>
          <w:color w:val="000000"/>
          <w:sz w:val="22"/>
          <w:szCs w:val="22"/>
        </w:rPr>
        <w:t>In the case of participants nominated by Al-Quds University as participants with special needs or from disadvantaged backgrounds, the University of Huelva will transfer the Erasmus funds before the start of the mobility period, if the required documents are submitted to the UHU International Relations Office five weeks before the start of the mobility period.</w:t>
      </w:r>
    </w:p>
    <w:p w14:paraId="0000005B">
      <w:pPr>
        <w:widowControl w:val="0"/>
        <w:numPr>
          <w:ilvl w:val="0"/>
          <w:numId w:val="7"/>
        </w:numPr>
        <w:shd w:val="clear" w:color="auto" w:fill="FFFFFF"/>
        <w:spacing w:after="160"/>
        <w:ind w:left="426" w:firstLine="0"/>
        <w:jc w:val="both"/>
        <w:rPr>
          <w:rFonts w:eastAsia="Malacitana-Sans" w:asciiTheme="majorHAnsi" w:hAnsiTheme="majorHAnsi" w:cstheme="majorHAnsi"/>
          <w:sz w:val="22"/>
          <w:szCs w:val="22"/>
        </w:rPr>
      </w:pPr>
      <w:r>
        <w:rPr>
          <w:rFonts w:eastAsia="Malacitana-Sans" w:asciiTheme="majorHAnsi" w:hAnsiTheme="majorHAnsi" w:cstheme="majorHAnsi"/>
          <w:b/>
          <w:bCs/>
          <w:sz w:val="22"/>
          <w:szCs w:val="22"/>
        </w:rPr>
        <w:t>Cancellations: Participants should inform Al-Quds University and the University of Huelva of cancellations as soon as possible, so that the Erasmus mobility might be offered to the first candidate on a waiting list</w:t>
      </w:r>
      <w:sdt>
        <w:sdtPr>
          <w:rPr>
            <w:rFonts w:asciiTheme="majorHAnsi" w:hAnsiTheme="majorHAnsi" w:cstheme="majorHAnsi"/>
            <w:sz w:val="22"/>
            <w:szCs w:val="22"/>
          </w:rPr>
          <w:tag w:val="goog_rdk_7"/>
          <w:id w:val="133412214"/>
        </w:sdtPr>
        <w:sdtEndPr>
          <w:rPr>
            <w:rFonts w:asciiTheme="majorHAnsi" w:hAnsiTheme="majorHAnsi" w:cstheme="majorHAnsi"/>
            <w:sz w:val="22"/>
            <w:szCs w:val="22"/>
          </w:rPr>
        </w:sdtEndPr>
        <w:sdtContent/>
      </w:sdt>
    </w:p>
    <w:p w14:paraId="0000005C">
      <w:pPr>
        <w:widowControl w:val="0"/>
        <w:pBdr>
          <w:top w:val="none" w:color="auto" w:sz="0" w:space="0"/>
          <w:left w:val="none" w:color="auto" w:sz="0" w:space="0"/>
          <w:bottom w:val="none" w:color="auto" w:sz="0" w:space="0"/>
          <w:right w:val="none" w:color="auto" w:sz="0" w:space="0"/>
          <w:between w:val="none" w:color="auto" w:sz="0" w:space="0"/>
        </w:pBdr>
        <w:spacing w:after="160"/>
        <w:jc w:val="both"/>
        <w:rPr>
          <w:rFonts w:eastAsia="Malacitana-Sans" w:asciiTheme="majorHAnsi" w:hAnsiTheme="majorHAnsi" w:cstheme="majorHAnsi"/>
          <w:color w:val="000000"/>
          <w:sz w:val="22"/>
          <w:szCs w:val="22"/>
        </w:rPr>
      </w:pPr>
    </w:p>
    <w:p w14:paraId="0000005D">
      <w:pPr>
        <w:numPr>
          <w:ilvl w:val="0"/>
          <w:numId w:val="2"/>
        </w:numPr>
        <w:pBdr>
          <w:top w:val="none" w:color="auto" w:sz="0" w:space="0"/>
          <w:left w:val="none" w:color="auto" w:sz="0" w:space="0"/>
          <w:bottom w:val="none" w:color="auto" w:sz="0" w:space="0"/>
          <w:right w:val="none" w:color="auto" w:sz="0" w:space="0"/>
          <w:between w:val="none" w:color="auto" w:sz="0" w:space="0"/>
        </w:pBdr>
        <w:spacing w:after="120"/>
        <w:jc w:val="both"/>
        <w:rPr>
          <w:rFonts w:eastAsia="Malacitana-Sans" w:asciiTheme="majorHAnsi" w:hAnsiTheme="majorHAnsi" w:cstheme="majorHAnsi"/>
          <w:color w:val="000000"/>
          <w:sz w:val="22"/>
          <w:szCs w:val="22"/>
        </w:rPr>
      </w:pPr>
      <w:r>
        <w:rPr>
          <w:rFonts w:eastAsia="Malacitana-Sans" w:asciiTheme="majorHAnsi" w:hAnsiTheme="majorHAnsi" w:cstheme="majorHAnsi"/>
          <w:b/>
          <w:bCs/>
          <w:color w:val="000000"/>
          <w:sz w:val="22"/>
          <w:szCs w:val="22"/>
        </w:rPr>
        <w:t>OBLIGATIONS OF THE UNIVERSITY OF HUELVA</w:t>
      </w:r>
    </w:p>
    <w:p w14:paraId="0000005E">
      <w:pPr>
        <w:numPr>
          <w:ilvl w:val="0"/>
          <w:numId w:val="9"/>
        </w:numPr>
        <w:spacing w:after="120"/>
        <w:ind w:left="426" w:hanging="68"/>
        <w:jc w:val="both"/>
        <w:rPr>
          <w:rFonts w:eastAsia="Malacitana-Sans" w:asciiTheme="majorHAnsi" w:hAnsiTheme="majorHAnsi" w:cstheme="majorHAnsi"/>
          <w:sz w:val="22"/>
          <w:szCs w:val="22"/>
        </w:rPr>
      </w:pPr>
      <w:r>
        <w:rPr>
          <w:rFonts w:eastAsia="Malacitana-Sans" w:asciiTheme="majorHAnsi" w:hAnsiTheme="majorHAnsi" w:cstheme="majorHAnsi"/>
          <w:sz w:val="22"/>
          <w:szCs w:val="22"/>
        </w:rPr>
        <w:t>The University of Huelva shall send a letter of acceptance and the corresponding informative documentation to selected participants following the final selection.</w:t>
      </w:r>
    </w:p>
    <w:p w14:paraId="0000005F">
      <w:pPr>
        <w:numPr>
          <w:ilvl w:val="0"/>
          <w:numId w:val="9"/>
        </w:numPr>
        <w:spacing w:after="120"/>
        <w:ind w:left="426" w:hanging="68"/>
        <w:jc w:val="both"/>
        <w:rPr>
          <w:rFonts w:eastAsia="Malacitana-Sans" w:asciiTheme="majorHAnsi" w:hAnsiTheme="majorHAnsi" w:cstheme="majorHAnsi"/>
          <w:b/>
          <w:bCs/>
          <w:sz w:val="22"/>
          <w:szCs w:val="22"/>
        </w:rPr>
      </w:pPr>
      <w:r>
        <w:rPr>
          <w:rFonts w:eastAsia="Malacitana-Sans" w:asciiTheme="majorHAnsi" w:hAnsiTheme="majorHAnsi" w:cstheme="majorHAnsi"/>
          <w:sz w:val="22"/>
          <w:szCs w:val="22"/>
        </w:rPr>
        <w:t>After completion of mobility, the University of Huelva will provide participants with a Transcript of Records and a Certificate of Attendance. Al-Quds University will issue a Certificate of Recognition.</w:t>
      </w:r>
    </w:p>
    <w:p w14:paraId="00000060">
      <w:pPr>
        <w:jc w:val="both"/>
        <w:rPr>
          <w:rFonts w:eastAsia="Malacitana-Sans" w:asciiTheme="majorHAnsi" w:hAnsiTheme="majorHAnsi" w:cstheme="majorHAnsi"/>
          <w:sz w:val="22"/>
          <w:szCs w:val="22"/>
        </w:rPr>
      </w:pPr>
      <w:r>
        <w:rPr>
          <w:rFonts w:eastAsia="Malacitana-Sans" w:asciiTheme="majorHAnsi" w:hAnsiTheme="majorHAnsi" w:cstheme="majorHAnsi"/>
          <w:sz w:val="22"/>
          <w:szCs w:val="22"/>
        </w:rPr>
        <w:t xml:space="preserve"> </w:t>
      </w:r>
    </w:p>
    <w:p w14:paraId="00000061">
      <w:pPr>
        <w:numPr>
          <w:ilvl w:val="0"/>
          <w:numId w:val="2"/>
        </w:numPr>
        <w:pBdr>
          <w:top w:val="none" w:color="auto" w:sz="0" w:space="0"/>
          <w:left w:val="none" w:color="auto" w:sz="0" w:space="0"/>
          <w:bottom w:val="none" w:color="auto" w:sz="0" w:space="0"/>
          <w:right w:val="none" w:color="auto" w:sz="0" w:space="0"/>
          <w:between w:val="none" w:color="auto" w:sz="0" w:space="0"/>
        </w:pBdr>
        <w:spacing w:after="120"/>
        <w:jc w:val="both"/>
        <w:rPr>
          <w:rFonts w:eastAsia="Malacitana-Sans" w:asciiTheme="majorHAnsi" w:hAnsiTheme="majorHAnsi" w:cstheme="majorHAnsi"/>
          <w:color w:val="000000"/>
          <w:sz w:val="22"/>
          <w:szCs w:val="22"/>
        </w:rPr>
      </w:pPr>
      <w:r>
        <w:rPr>
          <w:rFonts w:eastAsia="Malacitana-Sans" w:asciiTheme="majorHAnsi" w:hAnsiTheme="majorHAnsi" w:cstheme="majorHAnsi"/>
          <w:b/>
          <w:bCs/>
          <w:color w:val="000000"/>
          <w:sz w:val="22"/>
          <w:szCs w:val="22"/>
        </w:rPr>
        <w:t>PAYMENT AND ALLOCATION OF AID</w:t>
      </w:r>
    </w:p>
    <w:p w14:paraId="00000062">
      <w:pPr>
        <w:jc w:val="both"/>
        <w:rPr>
          <w:rFonts w:eastAsia="Malacitana-Sans" w:asciiTheme="majorHAnsi" w:hAnsiTheme="majorHAnsi" w:cstheme="majorHAnsi"/>
          <w:sz w:val="22"/>
          <w:szCs w:val="22"/>
        </w:rPr>
      </w:pPr>
      <w:r>
        <w:rPr>
          <w:rFonts w:eastAsia="Malacitana-Sans" w:asciiTheme="majorHAnsi" w:hAnsiTheme="majorHAnsi" w:cstheme="majorHAnsi"/>
          <w:sz w:val="22"/>
          <w:szCs w:val="22"/>
        </w:rPr>
        <w:t>The aid granted to the participants of the mobility program Erasmus + is designed to partially cover the expenses incurred by them during their stay abroad.</w:t>
      </w:r>
    </w:p>
    <w:p w14:paraId="00000063">
      <w:pPr>
        <w:jc w:val="both"/>
        <w:rPr>
          <w:rFonts w:eastAsia="Malacitana-Sans" w:asciiTheme="majorHAnsi" w:hAnsiTheme="majorHAnsi" w:cstheme="majorHAnsi"/>
          <w:sz w:val="22"/>
          <w:szCs w:val="22"/>
        </w:rPr>
      </w:pPr>
    </w:p>
    <w:p w14:paraId="00000064">
      <w:pPr>
        <w:jc w:val="both"/>
        <w:rPr>
          <w:rFonts w:eastAsia="Malacitana-Sans" w:asciiTheme="majorHAnsi" w:hAnsiTheme="majorHAnsi" w:cstheme="majorHAnsi"/>
          <w:sz w:val="22"/>
          <w:szCs w:val="22"/>
        </w:rPr>
      </w:pPr>
      <w:r>
        <w:rPr>
          <w:rFonts w:eastAsia="Malacitana-Sans" w:asciiTheme="majorHAnsi" w:hAnsiTheme="majorHAnsi" w:cstheme="majorHAnsi"/>
          <w:sz w:val="22"/>
          <w:szCs w:val="22"/>
        </w:rPr>
        <w:t>Aid funds from the European Union under this call include:</w:t>
      </w:r>
    </w:p>
    <w:p w14:paraId="00000065">
      <w:pPr>
        <w:jc w:val="both"/>
        <w:rPr>
          <w:rFonts w:eastAsia="Malacitana-Sans" w:asciiTheme="majorHAnsi" w:hAnsiTheme="majorHAnsi" w:cstheme="majorHAnsi"/>
          <w:sz w:val="22"/>
          <w:szCs w:val="22"/>
        </w:rPr>
      </w:pPr>
    </w:p>
    <w:p w14:paraId="00000066">
      <w:pPr>
        <w:ind w:left="284"/>
        <w:jc w:val="both"/>
        <w:rPr>
          <w:rFonts w:eastAsia="Malacitana-Sans" w:asciiTheme="majorHAnsi" w:hAnsiTheme="majorHAnsi" w:cstheme="majorHAnsi"/>
          <w:sz w:val="22"/>
          <w:szCs w:val="22"/>
        </w:rPr>
      </w:pPr>
      <w:bookmarkStart w:id="1" w:name="_heading=h.xsajm5ns7a0b" w:colFirst="0" w:colLast="0"/>
      <w:bookmarkEnd w:id="1"/>
      <w:r>
        <w:rPr>
          <w:rFonts w:eastAsia="Malacitana-Sans" w:asciiTheme="majorHAnsi" w:hAnsiTheme="majorHAnsi" w:cstheme="majorHAnsi"/>
          <w:sz w:val="22"/>
          <w:szCs w:val="22"/>
        </w:rPr>
        <w:t xml:space="preserve">1. An aid to cover </w:t>
      </w:r>
      <w:r>
        <w:rPr>
          <w:rFonts w:eastAsia="Malacitana-Sans" w:asciiTheme="majorHAnsi" w:hAnsiTheme="majorHAnsi" w:cstheme="majorHAnsi"/>
          <w:b/>
          <w:bCs/>
          <w:sz w:val="22"/>
          <w:szCs w:val="22"/>
        </w:rPr>
        <w:t>subsistence expenses</w:t>
      </w:r>
      <w:r>
        <w:rPr>
          <w:rFonts w:eastAsia="Malacitana-Sans" w:asciiTheme="majorHAnsi" w:hAnsiTheme="majorHAnsi" w:cstheme="majorHAnsi"/>
          <w:sz w:val="22"/>
          <w:szCs w:val="22"/>
        </w:rPr>
        <w:t>: This amount is set according to the country of destination and length of stay. The aid is divided by groups of countries, according to the approximate cost of living. Spain is included in Group 2 and mobilities contribution to this country is:</w:t>
      </w:r>
    </w:p>
    <w:p w14:paraId="00000067">
      <w:pPr>
        <w:ind w:left="284"/>
        <w:jc w:val="both"/>
        <w:rPr>
          <w:rFonts w:eastAsia="Malacitana-Sans" w:asciiTheme="majorHAnsi" w:hAnsiTheme="majorHAnsi" w:cstheme="majorHAnsi"/>
          <w:sz w:val="22"/>
          <w:szCs w:val="22"/>
        </w:rPr>
      </w:pPr>
      <w:r>
        <w:rPr>
          <w:rFonts w:eastAsia="Malacitana-Sans" w:asciiTheme="majorHAnsi" w:hAnsiTheme="majorHAnsi" w:cstheme="majorHAnsi"/>
          <w:b/>
          <w:bCs/>
          <w:sz w:val="22"/>
          <w:szCs w:val="22"/>
          <w:shd w:val="clear" w:color="auto" w:fill="E2F0D9"/>
        </w:rPr>
        <w:t>Projects 2025-1-ES01-KA171-HED-000326309 and 2026-1-ES01-KA171-HED-000434026 – student individual support: 850 EUR per month</w:t>
      </w:r>
    </w:p>
    <w:p w14:paraId="5CD4F814">
      <w:pPr>
        <w:pStyle w:val="36"/>
        <w:numPr>
          <w:ilvl w:val="0"/>
          <w:numId w:val="10"/>
        </w:numPr>
        <w:ind w:leftChars="0" w:firstLineChars="0"/>
        <w:jc w:val="both"/>
        <w:rPr>
          <w:rFonts w:eastAsia="Malacitana-Sans" w:asciiTheme="majorHAnsi" w:hAnsiTheme="majorHAnsi" w:cstheme="majorHAnsi"/>
        </w:rPr>
      </w:pPr>
      <w:bookmarkStart w:id="2" w:name="_heading=h.olabpzvx1u98" w:colFirst="0" w:colLast="0"/>
      <w:bookmarkEnd w:id="2"/>
      <w:r>
        <w:rPr>
          <w:rFonts w:eastAsia="Malacitana-Sans" w:asciiTheme="majorHAnsi" w:hAnsiTheme="majorHAnsi" w:cstheme="majorHAnsi"/>
        </w:rPr>
        <w:t xml:space="preserve">An aid to help cover </w:t>
      </w:r>
      <w:r>
        <w:rPr>
          <w:rFonts w:eastAsia="Malacitana-Sans" w:asciiTheme="majorHAnsi" w:hAnsiTheme="majorHAnsi" w:cstheme="majorHAnsi"/>
          <w:b/>
          <w:bCs/>
        </w:rPr>
        <w:t>travel expenses</w:t>
      </w:r>
      <w:r>
        <w:rPr>
          <w:rFonts w:eastAsia="Malacitana-Sans" w:asciiTheme="majorHAnsi" w:hAnsiTheme="majorHAnsi" w:cstheme="majorHAnsi"/>
        </w:rPr>
        <w:t>. The amount is calculated as a function of distance bands.</w:t>
      </w:r>
    </w:p>
    <w:p w14:paraId="0000006B">
      <w:pPr>
        <w:ind w:left="360"/>
        <w:jc w:val="both"/>
        <w:rPr>
          <w:rFonts w:eastAsia="Malacitana-Sans" w:asciiTheme="majorHAnsi" w:hAnsiTheme="majorHAnsi" w:cstheme="majorHAnsi"/>
          <w:sz w:val="22"/>
          <w:szCs w:val="22"/>
        </w:rPr>
      </w:pPr>
      <w:r>
        <w:rPr>
          <w:rFonts w:eastAsia="Malacitana-Sans" w:asciiTheme="majorHAnsi" w:hAnsiTheme="majorHAnsi" w:cstheme="majorHAnsi"/>
          <w:sz w:val="22"/>
          <w:szCs w:val="22"/>
        </w:rPr>
        <w:t>The distance calculated between the University city of origin and University City of destination, using the distance calculator European Union (</w:t>
      </w:r>
      <w:r>
        <w:fldChar w:fldCharType="begin"/>
      </w:r>
      <w:r>
        <w:instrText xml:space="preserve"> HYPERLINK "http://ec.europa.eu/programmes/erasmus-plus/tools/distance_en.htm" \h </w:instrText>
      </w:r>
      <w:r>
        <w:fldChar w:fldCharType="separate"/>
      </w:r>
      <w:r>
        <w:rPr>
          <w:rFonts w:eastAsia="Malacitana-Sans" w:asciiTheme="majorHAnsi" w:hAnsiTheme="majorHAnsi" w:cstheme="majorHAnsi"/>
          <w:color w:val="0000FF"/>
          <w:sz w:val="22"/>
          <w:szCs w:val="22"/>
          <w:u w:val="single"/>
        </w:rPr>
        <w:t>https://erasmus-plus.ec.europa.eu/resources-and-tools/distance-calculator?pk_source=website&amp;pk_medium=link&amp;pk_campaign=404&amp;pk_content=404-distcalc</w:t>
      </w:r>
      <w:r>
        <w:rPr>
          <w:rFonts w:eastAsia="Malacitana-Sans" w:asciiTheme="majorHAnsi" w:hAnsiTheme="majorHAnsi" w:cstheme="majorHAnsi"/>
          <w:color w:val="0000FF"/>
          <w:sz w:val="22"/>
          <w:szCs w:val="22"/>
          <w:u w:val="single"/>
        </w:rPr>
        <w:fldChar w:fldCharType="end"/>
      </w:r>
      <w:r>
        <w:rPr>
          <w:rFonts w:eastAsia="Malacitana-Sans" w:asciiTheme="majorHAnsi" w:hAnsiTheme="majorHAnsi" w:cstheme="majorHAnsi"/>
          <w:sz w:val="22"/>
          <w:szCs w:val="22"/>
        </w:rPr>
        <w:t xml:space="preserve">). </w:t>
      </w:r>
    </w:p>
    <w:p w14:paraId="0000006C">
      <w:pPr>
        <w:jc w:val="both"/>
        <w:rPr>
          <w:rFonts w:eastAsia="Malacitana-Sans" w:asciiTheme="majorHAnsi" w:hAnsiTheme="majorHAnsi" w:cstheme="majorHAnsi"/>
          <w:sz w:val="22"/>
          <w:szCs w:val="22"/>
        </w:rPr>
      </w:pPr>
    </w:p>
    <w:p w14:paraId="19999C66">
      <w:pPr>
        <w:pStyle w:val="38"/>
        <w:ind w:left="0" w:leftChars="0" w:firstLine="0" w:firstLineChars="0"/>
        <w:jc w:val="both"/>
        <w:rPr>
          <w:rFonts w:eastAsia="Calibri" w:asciiTheme="majorHAnsi" w:hAnsiTheme="majorHAnsi" w:cstheme="majorHAnsi"/>
          <w:b/>
          <w:bCs/>
          <w:sz w:val="22"/>
          <w:szCs w:val="22"/>
          <w:lang w:val="en" w:eastAsia="en-US"/>
        </w:rPr>
      </w:pPr>
      <w:r>
        <w:t>In the case of Al-Quds University, the allocated travel fund per participant is 580 EUR.</w:t>
      </w:r>
    </w:p>
    <w:p w14:paraId="61A0199A">
      <w:pPr>
        <w:jc w:val="both"/>
        <w:rPr>
          <w:rFonts w:eastAsia="Calibri" w:asciiTheme="majorHAnsi" w:hAnsiTheme="majorHAnsi" w:cstheme="majorHAnsi"/>
          <w:sz w:val="22"/>
          <w:szCs w:val="22"/>
          <w:lang w:eastAsia="en-US"/>
        </w:rPr>
      </w:pPr>
    </w:p>
    <w:p w14:paraId="003153D6">
      <w:pPr>
        <w:jc w:val="both"/>
        <w:rPr>
          <w:rFonts w:asciiTheme="majorHAnsi" w:hAnsiTheme="majorHAnsi" w:cstheme="majorHAnsi"/>
          <w:sz w:val="22"/>
          <w:szCs w:val="22"/>
          <w:lang w:val="en-US"/>
        </w:rPr>
      </w:pPr>
      <w:r>
        <w:rPr>
          <w:rFonts w:asciiTheme="majorHAnsi" w:hAnsiTheme="majorHAnsi" w:cstheme="majorHAnsi"/>
          <w:sz w:val="22"/>
          <w:szCs w:val="22"/>
          <w:lang w:val="en-US"/>
        </w:rPr>
        <w:t xml:space="preserve">The </w:t>
      </w:r>
      <w:r>
        <w:rPr>
          <w:rFonts w:asciiTheme="majorHAnsi" w:hAnsiTheme="majorHAnsi" w:cstheme="majorHAnsi"/>
          <w:b/>
          <w:sz w:val="22"/>
          <w:szCs w:val="22"/>
          <w:lang w:val="en-US"/>
        </w:rPr>
        <w:t>maximum funding period</w:t>
      </w:r>
      <w:r>
        <w:rPr>
          <w:rFonts w:asciiTheme="majorHAnsi" w:hAnsiTheme="majorHAnsi" w:cstheme="majorHAnsi"/>
          <w:sz w:val="22"/>
          <w:szCs w:val="22"/>
          <w:lang w:val="en-US"/>
        </w:rPr>
        <w:t xml:space="preserve"> for each type of mobility will be </w:t>
      </w:r>
      <w:r>
        <w:rPr>
          <w:rFonts w:asciiTheme="majorHAnsi" w:hAnsiTheme="majorHAnsi" w:cstheme="majorHAnsi"/>
          <w:b/>
          <w:sz w:val="22"/>
          <w:szCs w:val="22"/>
          <w:lang w:val="en-US"/>
        </w:rPr>
        <w:t>5 months</w:t>
      </w:r>
      <w:r>
        <w:rPr>
          <w:rFonts w:asciiTheme="majorHAnsi" w:hAnsiTheme="majorHAnsi" w:cstheme="majorHAnsi"/>
          <w:sz w:val="22"/>
          <w:szCs w:val="22"/>
          <w:lang w:val="en-US"/>
        </w:rPr>
        <w:t>.</w:t>
      </w:r>
    </w:p>
    <w:p w14:paraId="6E2B9901">
      <w:pPr>
        <w:jc w:val="both"/>
        <w:rPr>
          <w:rFonts w:eastAsia="Malacitana-Sans" w:asciiTheme="majorHAnsi" w:hAnsiTheme="majorHAnsi" w:cstheme="majorHAnsi"/>
          <w:sz w:val="22"/>
          <w:szCs w:val="22"/>
          <w:u w:val="single"/>
          <w:lang w:val="en-US"/>
        </w:rPr>
      </w:pPr>
    </w:p>
    <w:p w14:paraId="40C70693">
      <w:pPr>
        <w:jc w:val="both"/>
        <w:rPr>
          <w:rFonts w:asciiTheme="majorHAnsi" w:hAnsiTheme="majorHAnsi" w:cstheme="majorHAnsi"/>
          <w:sz w:val="22"/>
          <w:szCs w:val="22"/>
          <w:lang w:val="en-US"/>
        </w:rPr>
      </w:pPr>
      <w:r>
        <w:rPr>
          <w:rFonts w:asciiTheme="majorHAnsi" w:hAnsiTheme="majorHAnsi" w:cstheme="majorHAnsi"/>
          <w:sz w:val="22"/>
          <w:szCs w:val="22"/>
          <w:lang w:val="en-US"/>
        </w:rPr>
        <w:t xml:space="preserve">80 % of the total funding will be paid by bank transfer to the students’ bank account in Spain. Students are advised to open a bank account in Huelva as soon as possible after arrival in order to minimize the possibility of delay in payment due to bank related issues. </w:t>
      </w:r>
    </w:p>
    <w:p w14:paraId="2E541E01">
      <w:pPr>
        <w:jc w:val="both"/>
        <w:rPr>
          <w:rFonts w:asciiTheme="majorHAnsi" w:hAnsiTheme="majorHAnsi" w:cstheme="majorHAnsi"/>
          <w:sz w:val="22"/>
          <w:szCs w:val="22"/>
          <w:lang w:val="en-US"/>
        </w:rPr>
      </w:pPr>
      <w:r>
        <w:rPr>
          <w:rFonts w:asciiTheme="majorHAnsi" w:hAnsiTheme="majorHAnsi" w:cstheme="majorHAnsi"/>
          <w:sz w:val="22"/>
          <w:szCs w:val="22"/>
          <w:lang w:val="en-US"/>
        </w:rPr>
        <w:t xml:space="preserve">Students should arrive in Huelva with sufficient funds to cover accommodation and living costs for a 4 week period. </w:t>
      </w:r>
    </w:p>
    <w:p w14:paraId="6C0FD5B7">
      <w:pPr>
        <w:jc w:val="both"/>
        <w:rPr>
          <w:rFonts w:asciiTheme="majorHAnsi" w:hAnsiTheme="majorHAnsi" w:cstheme="majorHAnsi"/>
          <w:sz w:val="22"/>
          <w:szCs w:val="22"/>
          <w:lang w:val="en-US"/>
        </w:rPr>
      </w:pPr>
      <w:r>
        <w:rPr>
          <w:rFonts w:asciiTheme="majorHAnsi" w:hAnsiTheme="majorHAnsi" w:cstheme="majorHAnsi"/>
          <w:sz w:val="22"/>
          <w:szCs w:val="22"/>
          <w:lang w:val="en-US"/>
        </w:rPr>
        <w:t xml:space="preserve"> </w:t>
      </w:r>
    </w:p>
    <w:p w14:paraId="3686C704">
      <w:pPr>
        <w:jc w:val="both"/>
        <w:rPr>
          <w:rFonts w:asciiTheme="majorHAnsi" w:hAnsiTheme="majorHAnsi" w:cstheme="majorHAnsi"/>
          <w:sz w:val="22"/>
          <w:szCs w:val="22"/>
          <w:lang w:val="en-US"/>
        </w:rPr>
      </w:pPr>
      <w:r>
        <w:rPr>
          <w:rFonts w:asciiTheme="majorHAnsi" w:hAnsiTheme="majorHAnsi" w:cstheme="majorHAnsi"/>
          <w:sz w:val="22"/>
          <w:szCs w:val="22"/>
          <w:lang w:val="en-US"/>
        </w:rPr>
        <w:t>The remaining 20% of the funding will be transferred during the last month of the mobility period, before departure, if participants have stayed the full 5 months period and complied with the obligations listed in this Call.</w:t>
      </w:r>
    </w:p>
    <w:p w14:paraId="6B8DAFE7">
      <w:pPr>
        <w:jc w:val="both"/>
        <w:rPr>
          <w:rFonts w:asciiTheme="majorHAnsi" w:hAnsiTheme="majorHAnsi" w:cstheme="majorHAnsi"/>
          <w:sz w:val="22"/>
          <w:szCs w:val="22"/>
          <w:lang w:val="en-US"/>
        </w:rPr>
      </w:pPr>
    </w:p>
    <w:p w14:paraId="35A22DC0">
      <w:pPr>
        <w:jc w:val="both"/>
        <w:rPr>
          <w:rFonts w:asciiTheme="majorHAnsi" w:hAnsiTheme="majorHAnsi" w:cstheme="majorHAnsi"/>
          <w:b/>
          <w:sz w:val="22"/>
          <w:szCs w:val="22"/>
          <w:lang w:val="en-US"/>
        </w:rPr>
      </w:pPr>
      <w:r>
        <w:rPr>
          <w:rFonts w:asciiTheme="majorHAnsi" w:hAnsiTheme="majorHAnsi" w:cstheme="majorHAnsi"/>
          <w:b/>
          <w:sz w:val="22"/>
          <w:szCs w:val="22"/>
          <w:lang w:val="en-US"/>
        </w:rPr>
        <w:t xml:space="preserve">Provisions for Participants with special needs/disadvantaged backgrounds: </w:t>
      </w:r>
    </w:p>
    <w:p w14:paraId="29C1E9E8">
      <w:pPr>
        <w:jc w:val="both"/>
        <w:rPr>
          <w:rFonts w:asciiTheme="majorHAnsi" w:hAnsiTheme="majorHAnsi" w:cstheme="majorHAnsi"/>
          <w:b/>
          <w:sz w:val="22"/>
          <w:szCs w:val="22"/>
          <w:lang w:val="en-US"/>
        </w:rPr>
      </w:pPr>
      <w:r>
        <w:t>Participants who can provide official documentation showing special needs/disadvantaged backgrounds should declare this fact and include the corresponding documents when submitting their applications. If successful in obtaining an Erasmus+ mobility place in this Call, they should contact the International Office of the UHU as early as possible so that extra funding can be applied for on their behalf and so as to inform of the UHU might best facilitate their needs during the mobility period.</w:t>
      </w:r>
    </w:p>
    <w:p w14:paraId="0000007D">
      <w:pPr>
        <w:spacing w:line="276" w:lineRule="auto"/>
        <w:jc w:val="both"/>
        <w:rPr>
          <w:rFonts w:eastAsia="Malacitana-Sans" w:asciiTheme="majorHAnsi" w:hAnsiTheme="majorHAnsi" w:cstheme="majorHAnsi"/>
          <w:sz w:val="22"/>
          <w:szCs w:val="22"/>
          <w:lang w:val="en-US"/>
        </w:rPr>
      </w:pPr>
    </w:p>
    <w:p w14:paraId="0000007E">
      <w:pPr>
        <w:jc w:val="both"/>
        <w:rPr>
          <w:rFonts w:eastAsia="Malacitana-Sans" w:asciiTheme="majorHAnsi" w:hAnsiTheme="majorHAnsi" w:cstheme="majorHAnsi"/>
          <w:sz w:val="22"/>
          <w:szCs w:val="22"/>
        </w:rPr>
      </w:pPr>
    </w:p>
    <w:p w14:paraId="00000082">
      <w:pPr>
        <w:keepNext/>
        <w:numPr>
          <w:ilvl w:val="0"/>
          <w:numId w:val="2"/>
        </w:numPr>
        <w:pBdr>
          <w:top w:val="none" w:color="auto" w:sz="0" w:space="0"/>
          <w:left w:val="none" w:color="auto" w:sz="0" w:space="0"/>
          <w:bottom w:val="none" w:color="auto" w:sz="0" w:space="0"/>
          <w:right w:val="none" w:color="auto" w:sz="0" w:space="0"/>
          <w:between w:val="none" w:color="auto" w:sz="0" w:space="0"/>
        </w:pBdr>
        <w:spacing w:after="120"/>
        <w:jc w:val="both"/>
        <w:rPr>
          <w:rFonts w:eastAsia="Malacitana-Sans" w:asciiTheme="majorHAnsi" w:hAnsiTheme="majorHAnsi" w:cstheme="majorHAnsi"/>
          <w:color w:val="000000"/>
          <w:sz w:val="22"/>
          <w:szCs w:val="22"/>
        </w:rPr>
      </w:pPr>
      <w:r>
        <w:rPr>
          <w:rFonts w:eastAsia="Malacitana-Sans" w:asciiTheme="majorHAnsi" w:hAnsiTheme="majorHAnsi" w:cstheme="majorHAnsi"/>
          <w:b/>
          <w:bCs/>
          <w:color w:val="000000"/>
          <w:sz w:val="22"/>
          <w:szCs w:val="22"/>
        </w:rPr>
        <w:t>LANGUAGE PREPARATION</w:t>
      </w:r>
    </w:p>
    <w:p w14:paraId="00000083">
      <w:pPr>
        <w:keepNext/>
        <w:spacing w:before="280" w:after="280"/>
        <w:jc w:val="both"/>
        <w:rPr>
          <w:rFonts w:eastAsia="Malacitana-Sans" w:asciiTheme="majorHAnsi" w:hAnsiTheme="majorHAnsi" w:cstheme="majorHAnsi"/>
          <w:sz w:val="22"/>
          <w:szCs w:val="22"/>
        </w:rPr>
      </w:pPr>
      <w:r>
        <w:rPr>
          <w:rFonts w:eastAsia="Malacitana-Sans" w:asciiTheme="majorHAnsi" w:hAnsiTheme="majorHAnsi" w:cstheme="majorHAnsi"/>
          <w:sz w:val="22"/>
          <w:szCs w:val="22"/>
        </w:rPr>
        <w:t>Selected participants are encouraged to take an online language level test (before departure) through the Online Language Support provided by the European Commission, as well as to use the Online Language Support tools:</w:t>
      </w:r>
    </w:p>
    <w:p w14:paraId="00000084">
      <w:pPr>
        <w:keepNext/>
        <w:jc w:val="both"/>
        <w:rPr>
          <w:rFonts w:eastAsia="Malacitana-Sans" w:asciiTheme="majorHAnsi" w:hAnsiTheme="majorHAnsi" w:cstheme="majorHAnsi"/>
          <w:sz w:val="22"/>
          <w:szCs w:val="22"/>
        </w:rPr>
      </w:pPr>
      <w:r>
        <w:fldChar w:fldCharType="begin"/>
      </w:r>
      <w:r>
        <w:instrText xml:space="preserve"> HYPERLINK "https://wikis.ec.europa.eu/display/NAITDOC/Online+Language+Support" \h </w:instrText>
      </w:r>
      <w:r>
        <w:fldChar w:fldCharType="separate"/>
      </w:r>
      <w:r>
        <w:rPr>
          <w:rFonts w:eastAsia="Malacitana-Sans" w:asciiTheme="majorHAnsi" w:hAnsiTheme="majorHAnsi" w:cstheme="majorHAnsi"/>
          <w:b/>
          <w:bCs/>
          <w:color w:val="0000FF"/>
          <w:sz w:val="22"/>
          <w:szCs w:val="22"/>
          <w:u w:val="single"/>
        </w:rPr>
        <w:t>https://wikis.ec.europa.eu/display/NAITDOC/Online+Language+Support</w:t>
      </w:r>
      <w:r>
        <w:rPr>
          <w:rFonts w:eastAsia="Malacitana-Sans" w:asciiTheme="majorHAnsi" w:hAnsiTheme="majorHAnsi" w:cstheme="majorHAnsi"/>
          <w:b/>
          <w:bCs/>
          <w:color w:val="0000FF"/>
          <w:sz w:val="22"/>
          <w:szCs w:val="22"/>
          <w:u w:val="single"/>
        </w:rPr>
        <w:fldChar w:fldCharType="end"/>
      </w:r>
    </w:p>
    <w:p w14:paraId="00000085">
      <w:pPr>
        <w:spacing w:after="120"/>
        <w:jc w:val="both"/>
        <w:rPr>
          <w:rFonts w:eastAsia="Malacitana-Sans" w:asciiTheme="majorHAnsi" w:hAnsiTheme="majorHAnsi" w:cstheme="majorHAnsi"/>
          <w:sz w:val="22"/>
          <w:szCs w:val="22"/>
        </w:rPr>
      </w:pPr>
    </w:p>
    <w:p w14:paraId="00000086">
      <w:pPr>
        <w:numPr>
          <w:ilvl w:val="0"/>
          <w:numId w:val="2"/>
        </w:numPr>
        <w:pBdr>
          <w:top w:val="none" w:color="auto" w:sz="0" w:space="0"/>
          <w:left w:val="none" w:color="auto" w:sz="0" w:space="0"/>
          <w:bottom w:val="none" w:color="auto" w:sz="0" w:space="0"/>
          <w:right w:val="none" w:color="auto" w:sz="0" w:space="0"/>
          <w:between w:val="none" w:color="auto" w:sz="0" w:space="0"/>
        </w:pBdr>
        <w:spacing w:after="120"/>
        <w:jc w:val="both"/>
        <w:rPr>
          <w:rFonts w:eastAsia="Malacitana-Sans" w:asciiTheme="majorHAnsi" w:hAnsiTheme="majorHAnsi" w:cstheme="majorHAnsi"/>
          <w:color w:val="000000"/>
          <w:sz w:val="22"/>
          <w:szCs w:val="22"/>
        </w:rPr>
      </w:pPr>
      <w:r>
        <w:rPr>
          <w:rFonts w:eastAsia="Malacitana-Sans" w:asciiTheme="majorHAnsi" w:hAnsiTheme="majorHAnsi" w:cstheme="majorHAnsi"/>
          <w:b/>
          <w:bCs/>
          <w:color w:val="000000"/>
          <w:sz w:val="22"/>
          <w:szCs w:val="22"/>
        </w:rPr>
        <w:t>COMMUNICATION</w:t>
      </w:r>
    </w:p>
    <w:p w14:paraId="00000087">
      <w:pPr>
        <w:spacing w:line="288" w:lineRule="auto"/>
        <w:jc w:val="both"/>
        <w:rPr>
          <w:rFonts w:eastAsia="Malacitana-Sans" w:asciiTheme="majorHAnsi" w:hAnsiTheme="majorHAnsi" w:cstheme="majorHAnsi"/>
          <w:sz w:val="22"/>
          <w:szCs w:val="22"/>
        </w:rPr>
      </w:pPr>
      <w:r>
        <w:rPr>
          <w:rFonts w:eastAsia="Malacitana-Sans" w:asciiTheme="majorHAnsi" w:hAnsiTheme="majorHAnsi" w:cstheme="majorHAnsi"/>
          <w:sz w:val="22"/>
          <w:szCs w:val="22"/>
        </w:rPr>
        <w:t xml:space="preserve">All communications by the candidates must be made to their home International Relations Office. </w:t>
      </w:r>
      <w:r>
        <w:rPr>
          <w:rFonts w:eastAsia="Malacitana-Sans" w:asciiTheme="majorHAnsi" w:hAnsiTheme="majorHAnsi" w:cstheme="majorHAnsi"/>
          <w:b/>
          <w:bCs/>
          <w:sz w:val="22"/>
          <w:szCs w:val="22"/>
        </w:rPr>
        <w:t xml:space="preserve">Once selected, beneficiaries may contact </w:t>
      </w:r>
      <w:r>
        <w:rPr>
          <w:rFonts w:eastAsia="Malacitana-Sans" w:asciiTheme="majorHAnsi" w:hAnsiTheme="majorHAnsi" w:cstheme="majorHAnsi"/>
          <w:sz w:val="22"/>
          <w:szCs w:val="22"/>
        </w:rPr>
        <w:t>the University of Huelva through the address below:</w:t>
      </w:r>
    </w:p>
    <w:p w14:paraId="700F4493">
      <w:pPr>
        <w:spacing w:line="288" w:lineRule="auto"/>
        <w:jc w:val="both"/>
        <w:rPr>
          <w:rFonts w:asciiTheme="majorHAnsi" w:hAnsiTheme="majorHAnsi" w:cstheme="majorHAnsi"/>
          <w:b/>
          <w:sz w:val="22"/>
          <w:szCs w:val="22"/>
          <w:lang w:val="de-DE"/>
        </w:rPr>
      </w:pPr>
      <w:r>
        <w:fldChar w:fldCharType="begin"/>
      </w:r>
      <w:r>
        <w:instrText xml:space="preserve"> HYPERLINK "mailto:drinter02@sc.uhu.es" </w:instrText>
      </w:r>
      <w:r>
        <w:fldChar w:fldCharType="separate"/>
      </w:r>
      <w:r>
        <w:rPr>
          <w:rStyle w:val="23"/>
          <w:rFonts w:asciiTheme="majorHAnsi" w:hAnsiTheme="majorHAnsi" w:cstheme="majorHAnsi"/>
          <w:sz w:val="22"/>
          <w:szCs w:val="22"/>
          <w:lang w:val="en-GB"/>
        </w:rPr>
        <w:t>drinter02@sc.uhu.es</w:t>
      </w:r>
      <w:r>
        <w:rPr>
          <w:rStyle w:val="23"/>
          <w:rFonts w:asciiTheme="majorHAnsi" w:hAnsiTheme="majorHAnsi" w:cstheme="majorHAnsi"/>
          <w:sz w:val="22"/>
          <w:szCs w:val="22"/>
          <w:lang w:val="en-GB"/>
        </w:rPr>
        <w:fldChar w:fldCharType="end"/>
      </w:r>
      <w:r>
        <w:rPr>
          <w:rFonts w:asciiTheme="majorHAnsi" w:hAnsiTheme="majorHAnsi" w:cstheme="majorHAnsi"/>
          <w:sz w:val="22"/>
          <w:szCs w:val="22"/>
          <w:lang w:val="en-GB"/>
        </w:rPr>
        <w:t xml:space="preserve"> Student mobility issues</w:t>
      </w:r>
    </w:p>
    <w:p w14:paraId="0000009F">
      <w:pPr>
        <w:spacing w:line="288" w:lineRule="auto"/>
        <w:jc w:val="both"/>
        <w:rPr>
          <w:rFonts w:eastAsia="Malacitana-Sans" w:asciiTheme="majorHAnsi" w:hAnsiTheme="majorHAnsi" w:cstheme="majorHAnsi"/>
          <w:sz w:val="22"/>
          <w:szCs w:val="22"/>
        </w:rPr>
      </w:pPr>
      <w:bookmarkStart w:id="3" w:name="_heading=h.7qqmdz26pfqj" w:colFirst="0" w:colLast="0"/>
      <w:bookmarkEnd w:id="3"/>
      <w:bookmarkStart w:id="4" w:name="_heading=h.q5ukx4sb1pul" w:colFirst="0" w:colLast="0"/>
      <w:bookmarkEnd w:id="4"/>
      <w:bookmarkStart w:id="5" w:name="_heading=h.v1bh9k8xfde" w:colFirst="0" w:colLast="0"/>
      <w:bookmarkEnd w:id="5"/>
      <w:bookmarkStart w:id="6" w:name="_heading=h.ghk15f674qu3" w:colFirst="0" w:colLast="0"/>
      <w:bookmarkEnd w:id="6"/>
      <w:bookmarkStart w:id="7" w:name="_heading=h.jgl2ush68v50" w:colFirst="0" w:colLast="0"/>
      <w:bookmarkEnd w:id="7"/>
      <w:bookmarkStart w:id="8" w:name="_heading=h.e24bxdlozl9s" w:colFirst="0" w:colLast="0"/>
      <w:bookmarkEnd w:id="8"/>
      <w:bookmarkStart w:id="9" w:name="_heading=h.ikjsoih4kql3" w:colFirst="0" w:colLast="0"/>
      <w:bookmarkEnd w:id="9"/>
      <w:bookmarkStart w:id="10" w:name="_heading=h.e69h75ts2apd" w:colFirst="0" w:colLast="0"/>
      <w:bookmarkEnd w:id="10"/>
      <w:bookmarkStart w:id="11" w:name="_heading=h.k725lyxxa9th" w:colFirst="0" w:colLast="0"/>
      <w:bookmarkEnd w:id="11"/>
    </w:p>
    <w:p w14:paraId="000000A0">
      <w:pPr>
        <w:spacing w:line="288" w:lineRule="auto"/>
        <w:jc w:val="both"/>
        <w:rPr>
          <w:rFonts w:eastAsia="Malacitana-Sans" w:asciiTheme="majorHAnsi" w:hAnsiTheme="majorHAnsi" w:cstheme="majorHAnsi"/>
          <w:sz w:val="22"/>
          <w:szCs w:val="22"/>
        </w:rPr>
      </w:pPr>
      <w:bookmarkStart w:id="12" w:name="_heading=h.h34ttrydnjy" w:colFirst="0" w:colLast="0"/>
      <w:bookmarkEnd w:id="12"/>
    </w:p>
    <w:p w14:paraId="000000A1">
      <w:pPr>
        <w:spacing w:line="288" w:lineRule="auto"/>
        <w:jc w:val="both"/>
        <w:rPr>
          <w:rFonts w:eastAsia="Malacitana-Sans" w:asciiTheme="majorHAnsi" w:hAnsiTheme="majorHAnsi" w:cstheme="majorHAnsi"/>
          <w:sz w:val="22"/>
          <w:szCs w:val="22"/>
        </w:rPr>
      </w:pPr>
      <w:bookmarkStart w:id="13" w:name="_heading=h.ydlc2txqxmpr" w:colFirst="0" w:colLast="0"/>
      <w:bookmarkEnd w:id="13"/>
    </w:p>
    <w:p w14:paraId="000000A2">
      <w:pPr>
        <w:spacing w:line="288" w:lineRule="auto"/>
        <w:jc w:val="both"/>
        <w:rPr>
          <w:rFonts w:eastAsia="Malacitana-Sans" w:asciiTheme="majorHAnsi" w:hAnsiTheme="majorHAnsi" w:cstheme="majorHAnsi"/>
          <w:sz w:val="22"/>
          <w:szCs w:val="22"/>
        </w:rPr>
      </w:pPr>
      <w:bookmarkStart w:id="14" w:name="_heading=h.ak143ihupugc" w:colFirst="0" w:colLast="0"/>
      <w:bookmarkEnd w:id="14"/>
    </w:p>
    <w:p w14:paraId="000000A3">
      <w:pPr>
        <w:spacing w:line="288" w:lineRule="auto"/>
        <w:jc w:val="both"/>
        <w:rPr>
          <w:rFonts w:eastAsia="Malacitana-Sans" w:asciiTheme="majorHAnsi" w:hAnsiTheme="majorHAnsi" w:cstheme="majorHAnsi"/>
          <w:sz w:val="22"/>
          <w:szCs w:val="22"/>
        </w:rPr>
      </w:pPr>
      <w:bookmarkStart w:id="15" w:name="_heading=h.c406t2xkabme" w:colFirst="0" w:colLast="0"/>
      <w:bookmarkEnd w:id="15"/>
    </w:p>
    <w:p w14:paraId="000000A4">
      <w:pPr>
        <w:spacing w:line="288" w:lineRule="auto"/>
        <w:jc w:val="both"/>
        <w:rPr>
          <w:rFonts w:eastAsia="Malacitana-Sans" w:asciiTheme="majorHAnsi" w:hAnsiTheme="majorHAnsi" w:cstheme="majorHAnsi"/>
          <w:sz w:val="22"/>
          <w:szCs w:val="22"/>
        </w:rPr>
      </w:pPr>
      <w:bookmarkStart w:id="16" w:name="_heading=h.41zugzz6eecd" w:colFirst="0" w:colLast="0"/>
      <w:bookmarkEnd w:id="16"/>
    </w:p>
    <w:p w14:paraId="000000A5">
      <w:pPr>
        <w:spacing w:line="288" w:lineRule="auto"/>
        <w:jc w:val="both"/>
        <w:rPr>
          <w:rFonts w:eastAsia="Malacitana-Sans" w:asciiTheme="majorHAnsi" w:hAnsiTheme="majorHAnsi" w:cstheme="majorHAnsi"/>
          <w:sz w:val="22"/>
          <w:szCs w:val="22"/>
        </w:rPr>
      </w:pPr>
      <w:bookmarkStart w:id="17" w:name="_heading=h.qhreg1f53ohy" w:colFirst="0" w:colLast="0"/>
      <w:bookmarkEnd w:id="17"/>
    </w:p>
    <w:p w14:paraId="000000A6">
      <w:pPr>
        <w:spacing w:line="288" w:lineRule="auto"/>
        <w:jc w:val="both"/>
        <w:rPr>
          <w:rFonts w:eastAsia="Malacitana-Sans" w:asciiTheme="majorHAnsi" w:hAnsiTheme="majorHAnsi" w:cstheme="majorHAnsi"/>
          <w:sz w:val="22"/>
          <w:szCs w:val="22"/>
        </w:rPr>
      </w:pPr>
      <w:bookmarkStart w:id="18" w:name="_heading=h.239pkg84qcuz" w:colFirst="0" w:colLast="0"/>
      <w:bookmarkEnd w:id="18"/>
    </w:p>
    <w:p w14:paraId="000000A7">
      <w:pPr>
        <w:spacing w:line="288" w:lineRule="auto"/>
        <w:jc w:val="both"/>
        <w:rPr>
          <w:rFonts w:eastAsia="Malacitana-Sans" w:asciiTheme="majorHAnsi" w:hAnsiTheme="majorHAnsi" w:cstheme="majorHAnsi"/>
          <w:sz w:val="22"/>
          <w:szCs w:val="22"/>
        </w:rPr>
      </w:pPr>
      <w:bookmarkStart w:id="19" w:name="_heading=h.el7zyuxpwewg" w:colFirst="0" w:colLast="0"/>
      <w:bookmarkEnd w:id="19"/>
    </w:p>
    <w:p w14:paraId="000000B0">
      <w:pPr>
        <w:spacing w:line="288" w:lineRule="auto"/>
        <w:jc w:val="both"/>
        <w:rPr>
          <w:rFonts w:eastAsia="Malacitana-Sans" w:asciiTheme="majorHAnsi" w:hAnsiTheme="majorHAnsi" w:cstheme="majorHAnsi"/>
          <w:sz w:val="22"/>
          <w:szCs w:val="22"/>
        </w:rPr>
      </w:pPr>
      <w:bookmarkStart w:id="20" w:name="_heading=h.3t6v5brilvcq" w:colFirst="0" w:colLast="0"/>
      <w:bookmarkEnd w:id="20"/>
      <w:bookmarkStart w:id="21" w:name="_heading=h.ujbgo0zebwm6" w:colFirst="0" w:colLast="0"/>
      <w:bookmarkEnd w:id="21"/>
      <w:bookmarkStart w:id="22" w:name="_heading=h.r9huva3pdehf" w:colFirst="0" w:colLast="0"/>
      <w:bookmarkEnd w:id="22"/>
      <w:bookmarkStart w:id="23" w:name="_heading=h.fhfjwlbz9kxw" w:colFirst="0" w:colLast="0"/>
      <w:bookmarkEnd w:id="23"/>
      <w:bookmarkStart w:id="24" w:name="_heading=h.578k5xpgqzml" w:colFirst="0" w:colLast="0"/>
      <w:bookmarkEnd w:id="24"/>
      <w:bookmarkStart w:id="25" w:name="_heading=h.sirlkjnb6lsy" w:colFirst="0" w:colLast="0"/>
      <w:bookmarkEnd w:id="25"/>
      <w:bookmarkStart w:id="26" w:name="_heading=h.liuf0h5l3b4q" w:colFirst="0" w:colLast="0"/>
      <w:bookmarkEnd w:id="26"/>
      <w:bookmarkStart w:id="27" w:name="_heading=h.fzk2624wv2e7" w:colFirst="0" w:colLast="0"/>
      <w:bookmarkEnd w:id="27"/>
      <w:bookmarkStart w:id="28" w:name="_heading=h.gb0vaz1if0fn" w:colFirst="0" w:colLast="0"/>
      <w:bookmarkEnd w:id="28"/>
    </w:p>
    <w:p w14:paraId="000000B1">
      <w:pPr>
        <w:spacing w:line="288" w:lineRule="auto"/>
        <w:jc w:val="both"/>
        <w:rPr>
          <w:rFonts w:eastAsia="Malacitana-Sans" w:asciiTheme="majorHAnsi" w:hAnsiTheme="majorHAnsi" w:cstheme="majorHAnsi"/>
          <w:sz w:val="22"/>
          <w:szCs w:val="22"/>
        </w:rPr>
      </w:pPr>
      <w:bookmarkStart w:id="29" w:name="_heading=h.34xjbweho4mr" w:colFirst="0" w:colLast="0"/>
      <w:bookmarkEnd w:id="29"/>
    </w:p>
    <w:p w14:paraId="000000B2">
      <w:pPr>
        <w:spacing w:line="288" w:lineRule="auto"/>
        <w:jc w:val="both"/>
        <w:rPr>
          <w:rFonts w:eastAsia="Malacitana-Sans" w:asciiTheme="majorHAnsi" w:hAnsiTheme="majorHAnsi" w:cstheme="majorHAnsi"/>
          <w:sz w:val="22"/>
          <w:szCs w:val="22"/>
        </w:rPr>
      </w:pPr>
      <w:bookmarkStart w:id="30" w:name="_heading=h.99mm1cmdalxs" w:colFirst="0" w:colLast="0"/>
      <w:bookmarkEnd w:id="30"/>
    </w:p>
    <w:p w14:paraId="000000B3">
      <w:pPr>
        <w:spacing w:line="288" w:lineRule="auto"/>
        <w:jc w:val="both"/>
        <w:rPr>
          <w:rFonts w:eastAsia="Malacitana-Sans" w:asciiTheme="majorHAnsi" w:hAnsiTheme="majorHAnsi" w:cstheme="majorHAnsi"/>
          <w:sz w:val="22"/>
          <w:szCs w:val="22"/>
        </w:rPr>
      </w:pPr>
      <w:bookmarkStart w:id="31" w:name="_heading=h.emnffpyb706o" w:colFirst="0" w:colLast="0"/>
      <w:bookmarkEnd w:id="31"/>
    </w:p>
    <w:sectPr>
      <w:pgSz w:w="11906" w:h="16838"/>
      <w:pgMar w:top="1985" w:right="1418" w:bottom="1134" w:left="1701" w:header="0" w:footer="709"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E43DC648-55B9-40E2-B2D1-C825B19041EE}"/>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2" w:fontKey="{16BCE29C-8A97-497A-B40C-FC85D2CC5234}"/>
  </w:font>
  <w:font w:name="Wingdings">
    <w:panose1 w:val="05000000000000000000"/>
    <w:charset w:val="02"/>
    <w:family w:val="auto"/>
    <w:pitch w:val="default"/>
    <w:sig w:usb0="00000000" w:usb1="00000000" w:usb2="00000000" w:usb3="00000000" w:csb0="80000000" w:csb1="00000000"/>
    <w:embedRegular r:id="rId3" w:fontKey="{5A34BEDF-9CF4-45BC-B38A-14BCB8D29712}"/>
  </w:font>
  <w:font w:name="Calibri">
    <w:panose1 w:val="020F0502020204030204"/>
    <w:charset w:val="00"/>
    <w:family w:val="swiss"/>
    <w:pitch w:val="default"/>
    <w:sig w:usb0="E4002EFF" w:usb1="C200247B" w:usb2="00000009" w:usb3="00000000" w:csb0="200001FF" w:csb1="00000000"/>
    <w:embedRegular r:id="rId4" w:fontKey="{F4FAAD5F-338E-4D2A-99A6-2E4025E950D9}"/>
  </w:font>
  <w:font w:name="等线">
    <w:altName w:val="Arial Unicode MS"/>
    <w:panose1 w:val="00000000000000000000"/>
    <w:charset w:val="86"/>
    <w:family w:val="auto"/>
    <w:pitch w:val="default"/>
    <w:sig w:usb0="00000000" w:usb1="00000000" w:usb2="00000000" w:usb3="00000000" w:csb0="00000000" w:csb1="00000000"/>
  </w:font>
  <w:font w:name="ZapfHumnst Dm BT">
    <w:altName w:val="Segoe Print"/>
    <w:panose1 w:val="00000000000000000000"/>
    <w:charset w:val="00"/>
    <w:family w:val="roman"/>
    <w:pitch w:val="default"/>
    <w:sig w:usb0="00000000" w:usb1="00000000" w:usb2="00000000" w:usb3="00000000" w:csb0="00000000" w:csb1="00000000"/>
  </w:font>
  <w:font w:name="ZapfHumnst BT">
    <w:altName w:val="Segoe Print"/>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embedRegular r:id="rId5" w:fontKey="{5A7F3F47-5F60-4DDB-B023-DA00DF01AD47}"/>
  </w:font>
  <w:font w:name="Verdana">
    <w:panose1 w:val="020B0604030504040204"/>
    <w:charset w:val="00"/>
    <w:family w:val="swiss"/>
    <w:pitch w:val="default"/>
    <w:sig w:usb0="A00006FF" w:usb1="4000205B" w:usb2="00000010" w:usb3="00000000" w:csb0="2000019F" w:csb1="00000000"/>
    <w:embedRegular r:id="rId6" w:fontKey="{B78469BF-F229-4E2C-ACEC-B2D1DAFB9A91}"/>
  </w:font>
  <w:font w:name="Corbel">
    <w:panose1 w:val="020B0503020204020204"/>
    <w:charset w:val="00"/>
    <w:family w:val="swiss"/>
    <w:pitch w:val="default"/>
    <w:sig w:usb0="A00002EF" w:usb1="4000A44B" w:usb2="00000000" w:usb3="00000000" w:csb0="2000019F" w:csb1="00000000"/>
    <w:embedRegular r:id="rId7" w:fontKey="{76975B0C-C800-4980-BD08-575C54A2AC86}"/>
  </w:font>
  <w:font w:name="Malacitana-Sans">
    <w:altName w:val="Calibri"/>
    <w:panose1 w:val="00000000000000000000"/>
    <w:charset w:val="00"/>
    <w:family w:val="auto"/>
    <w:pitch w:val="default"/>
    <w:sig w:usb0="00000000" w:usb1="00000000" w:usb2="00000000" w:usb3="00000000" w:csb0="00000000" w:csb1="00000000"/>
  </w:font>
  <w:font w:name="Georgia">
    <w:panose1 w:val="02040502050405020303"/>
    <w:charset w:val="00"/>
    <w:family w:val="roman"/>
    <w:pitch w:val="default"/>
    <w:sig w:usb0="00000287" w:usb1="00000000" w:usb2="00000000" w:usb3="00000000" w:csb0="2000009F" w:csb1="00000000"/>
    <w:embedRegular r:id="rId8" w:fontKey="{A6CA536B-92C0-4A07-B0CA-6C62C074B1A9}"/>
  </w:font>
  <w:font w:name="Noto Sans Symbol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embedRegular r:id="rId9" w:fontKey="{2A29A10D-D11E-456C-A29B-014951CA82BF}"/>
  </w:font>
  <w:font w:name="Arial Unicode MS">
    <w:panose1 w:val="020B0604020202020204"/>
    <w:charset w:val="86"/>
    <w:family w:val="auto"/>
    <w:pitch w:val="default"/>
    <w:sig w:usb0="FFFFFFFF" w:usb1="E9FFFFFF" w:usb2="0000003F" w:usb3="00000000" w:csb0="603F01FF" w:csb1="FFFF0000"/>
  </w:font>
  <w:font w:name="Wingdings">
    <w:panose1 w:val="05000000000000000000"/>
    <w:charset w:val="00"/>
    <w:family w:val="auto"/>
    <w:pitch w:val="default"/>
    <w:sig w:usb0="00000000" w:usb1="00000000" w:usb2="00000000" w:usb3="00000000" w:csb0="80000000" w:csb1="00000000"/>
    <w:embedRegular r:id="rId10" w:fontKey="{A7E137C8-0EE2-4898-ABA3-70D6E8597A1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1EA901"/>
    <w:multiLevelType w:val="singleLevel"/>
    <w:tmpl w:val="F61EA901"/>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044459A0"/>
    <w:multiLevelType w:val="multilevel"/>
    <w:tmpl w:val="044459A0"/>
    <w:lvl w:ilvl="0" w:tentative="0">
      <w:start w:val="1"/>
      <w:numFmt w:val="lowerLetter"/>
      <w:pStyle w:val="49"/>
      <w:lvlText w:val="%1)"/>
      <w:lvlJc w:val="left"/>
      <w:pPr>
        <w:ind w:left="720" w:hanging="360"/>
      </w:pPr>
      <w:rPr>
        <w:vertAlign w:val="baseline"/>
      </w:rPr>
    </w:lvl>
    <w:lvl w:ilvl="1" w:tentative="0">
      <w:start w:val="1"/>
      <w:numFmt w:val="decimal"/>
      <w:lvlText w:val="%2."/>
      <w:lvlJc w:val="left"/>
      <w:pPr>
        <w:ind w:left="1530" w:hanging="450"/>
      </w:pPr>
      <w:rPr>
        <w:vertAlign w:val="baseline"/>
      </w:rPr>
    </w:lvl>
    <w:lvl w:ilvl="2" w:tentative="0">
      <w:start w:val="1"/>
      <w:numFmt w:val="lowerRoman"/>
      <w:lvlText w:val="%3."/>
      <w:lvlJc w:val="right"/>
      <w:pPr>
        <w:ind w:left="2160" w:hanging="180"/>
      </w:pPr>
      <w:rPr>
        <w:vertAlign w:val="baseline"/>
      </w:rPr>
    </w:lvl>
    <w:lvl w:ilvl="3" w:tentative="0">
      <w:start w:val="1"/>
      <w:numFmt w:val="decimal"/>
      <w:lvlText w:val="%4."/>
      <w:lvlJc w:val="left"/>
      <w:pPr>
        <w:ind w:left="2880" w:hanging="360"/>
      </w:pPr>
      <w:rPr>
        <w:vertAlign w:val="baseline"/>
      </w:rPr>
    </w:lvl>
    <w:lvl w:ilvl="4" w:tentative="0">
      <w:start w:val="1"/>
      <w:numFmt w:val="lowerLetter"/>
      <w:lvlText w:val="%5."/>
      <w:lvlJc w:val="left"/>
      <w:pPr>
        <w:ind w:left="3600" w:hanging="360"/>
      </w:pPr>
      <w:rPr>
        <w:vertAlign w:val="baseline"/>
      </w:rPr>
    </w:lvl>
    <w:lvl w:ilvl="5" w:tentative="0">
      <w:start w:val="1"/>
      <w:numFmt w:val="lowerRoman"/>
      <w:lvlText w:val="%6."/>
      <w:lvlJc w:val="right"/>
      <w:pPr>
        <w:ind w:left="4320" w:hanging="180"/>
      </w:pPr>
      <w:rPr>
        <w:vertAlign w:val="baseline"/>
      </w:rPr>
    </w:lvl>
    <w:lvl w:ilvl="6" w:tentative="0">
      <w:start w:val="1"/>
      <w:numFmt w:val="decimal"/>
      <w:lvlText w:val="%7."/>
      <w:lvlJc w:val="left"/>
      <w:pPr>
        <w:ind w:left="5040" w:hanging="360"/>
      </w:pPr>
      <w:rPr>
        <w:vertAlign w:val="baseline"/>
      </w:rPr>
    </w:lvl>
    <w:lvl w:ilvl="7" w:tentative="0">
      <w:start w:val="1"/>
      <w:numFmt w:val="lowerLetter"/>
      <w:lvlText w:val="%8."/>
      <w:lvlJc w:val="left"/>
      <w:pPr>
        <w:ind w:left="5760" w:hanging="360"/>
      </w:pPr>
      <w:rPr>
        <w:vertAlign w:val="baseline"/>
      </w:rPr>
    </w:lvl>
    <w:lvl w:ilvl="8" w:tentative="0">
      <w:start w:val="1"/>
      <w:numFmt w:val="lowerRoman"/>
      <w:lvlText w:val="%9."/>
      <w:lvlJc w:val="right"/>
      <w:pPr>
        <w:ind w:left="6480" w:hanging="180"/>
      </w:pPr>
      <w:rPr>
        <w:vertAlign w:val="baseline"/>
      </w:rPr>
    </w:lvl>
  </w:abstractNum>
  <w:abstractNum w:abstractNumId="2">
    <w:nsid w:val="1E1262EC"/>
    <w:multiLevelType w:val="multilevel"/>
    <w:tmpl w:val="1E1262EC"/>
    <w:lvl w:ilvl="0" w:tentative="0">
      <w:start w:val="1"/>
      <w:numFmt w:val="lowerLetter"/>
      <w:lvlText w:val="%1)"/>
      <w:lvlJc w:val="left"/>
      <w:pPr>
        <w:ind w:left="1440" w:hanging="360"/>
      </w:pPr>
      <w:rPr>
        <w:vertAlign w:val="baseline"/>
      </w:rPr>
    </w:lvl>
    <w:lvl w:ilvl="1" w:tentative="0">
      <w:start w:val="1"/>
      <w:numFmt w:val="lowerLetter"/>
      <w:lvlText w:val="%2."/>
      <w:lvlJc w:val="left"/>
      <w:pPr>
        <w:ind w:left="2160" w:hanging="360"/>
      </w:pPr>
      <w:rPr>
        <w:vertAlign w:val="baseline"/>
      </w:rPr>
    </w:lvl>
    <w:lvl w:ilvl="2" w:tentative="0">
      <w:start w:val="1"/>
      <w:numFmt w:val="lowerRoman"/>
      <w:lvlText w:val="%3."/>
      <w:lvlJc w:val="right"/>
      <w:pPr>
        <w:ind w:left="2880" w:hanging="180"/>
      </w:pPr>
      <w:rPr>
        <w:vertAlign w:val="baseline"/>
      </w:rPr>
    </w:lvl>
    <w:lvl w:ilvl="3" w:tentative="0">
      <w:start w:val="1"/>
      <w:numFmt w:val="decimal"/>
      <w:lvlText w:val="%4."/>
      <w:lvlJc w:val="left"/>
      <w:pPr>
        <w:ind w:left="3600" w:hanging="360"/>
      </w:pPr>
      <w:rPr>
        <w:vertAlign w:val="baseline"/>
      </w:rPr>
    </w:lvl>
    <w:lvl w:ilvl="4" w:tentative="0">
      <w:start w:val="1"/>
      <w:numFmt w:val="lowerLetter"/>
      <w:lvlText w:val="%5."/>
      <w:lvlJc w:val="left"/>
      <w:pPr>
        <w:ind w:left="4320" w:hanging="360"/>
      </w:pPr>
      <w:rPr>
        <w:vertAlign w:val="baseline"/>
      </w:rPr>
    </w:lvl>
    <w:lvl w:ilvl="5" w:tentative="0">
      <w:start w:val="1"/>
      <w:numFmt w:val="lowerRoman"/>
      <w:lvlText w:val="%6."/>
      <w:lvlJc w:val="right"/>
      <w:pPr>
        <w:ind w:left="5040" w:hanging="180"/>
      </w:pPr>
      <w:rPr>
        <w:vertAlign w:val="baseline"/>
      </w:rPr>
    </w:lvl>
    <w:lvl w:ilvl="6" w:tentative="0">
      <w:start w:val="1"/>
      <w:numFmt w:val="decimal"/>
      <w:lvlText w:val="%7."/>
      <w:lvlJc w:val="left"/>
      <w:pPr>
        <w:ind w:left="5760" w:hanging="360"/>
      </w:pPr>
      <w:rPr>
        <w:vertAlign w:val="baseline"/>
      </w:rPr>
    </w:lvl>
    <w:lvl w:ilvl="7" w:tentative="0">
      <w:start w:val="1"/>
      <w:numFmt w:val="lowerLetter"/>
      <w:lvlText w:val="%8."/>
      <w:lvlJc w:val="left"/>
      <w:pPr>
        <w:ind w:left="6480" w:hanging="360"/>
      </w:pPr>
      <w:rPr>
        <w:vertAlign w:val="baseline"/>
      </w:rPr>
    </w:lvl>
    <w:lvl w:ilvl="8" w:tentative="0">
      <w:start w:val="1"/>
      <w:numFmt w:val="lowerRoman"/>
      <w:lvlText w:val="%9."/>
      <w:lvlJc w:val="right"/>
      <w:pPr>
        <w:ind w:left="7200" w:hanging="180"/>
      </w:pPr>
      <w:rPr>
        <w:vertAlign w:val="baseline"/>
      </w:rPr>
    </w:lvl>
  </w:abstractNum>
  <w:abstractNum w:abstractNumId="3">
    <w:nsid w:val="23B2297E"/>
    <w:multiLevelType w:val="multilevel"/>
    <w:tmpl w:val="23B2297E"/>
    <w:lvl w:ilvl="0" w:tentative="0">
      <w:start w:val="1"/>
      <w:numFmt w:val="bullet"/>
      <w:lvlText w:val="●"/>
      <w:lvlJc w:val="left"/>
      <w:pPr>
        <w:ind w:left="720" w:hanging="360"/>
      </w:pPr>
      <w:rPr>
        <w:rFonts w:ascii="Noto Sans Symbols" w:hAnsi="Noto Sans Symbols" w:eastAsia="Noto Sans Symbols" w:cs="Noto Sans Symbols"/>
        <w:vertAlign w:val="baseline"/>
      </w:rPr>
    </w:lvl>
    <w:lvl w:ilvl="1" w:tentative="0">
      <w:start w:val="1"/>
      <w:numFmt w:val="bullet"/>
      <w:lvlText w:val="o"/>
      <w:lvlJc w:val="left"/>
      <w:pPr>
        <w:ind w:left="1440" w:hanging="360"/>
      </w:pPr>
      <w:rPr>
        <w:rFonts w:ascii="Courier New" w:hAnsi="Courier New" w:eastAsia="Courier New" w:cs="Courier New"/>
        <w:vertAlign w:val="baseline"/>
      </w:rPr>
    </w:lvl>
    <w:lvl w:ilvl="2" w:tentative="0">
      <w:start w:val="1"/>
      <w:numFmt w:val="bullet"/>
      <w:lvlText w:val="▪"/>
      <w:lvlJc w:val="left"/>
      <w:pPr>
        <w:ind w:left="2160" w:hanging="360"/>
      </w:pPr>
      <w:rPr>
        <w:rFonts w:ascii="Noto Sans Symbols" w:hAnsi="Noto Sans Symbols" w:eastAsia="Noto Sans Symbols" w:cs="Noto Sans Symbols"/>
        <w:vertAlign w:val="baseline"/>
      </w:rPr>
    </w:lvl>
    <w:lvl w:ilvl="3" w:tentative="0">
      <w:start w:val="1"/>
      <w:numFmt w:val="bullet"/>
      <w:lvlText w:val="●"/>
      <w:lvlJc w:val="left"/>
      <w:pPr>
        <w:ind w:left="2880" w:hanging="360"/>
      </w:pPr>
      <w:rPr>
        <w:rFonts w:ascii="Noto Sans Symbols" w:hAnsi="Noto Sans Symbols" w:eastAsia="Noto Sans Symbols" w:cs="Noto Sans Symbols"/>
        <w:vertAlign w:val="baseline"/>
      </w:rPr>
    </w:lvl>
    <w:lvl w:ilvl="4" w:tentative="0">
      <w:start w:val="1"/>
      <w:numFmt w:val="bullet"/>
      <w:lvlText w:val="o"/>
      <w:lvlJc w:val="left"/>
      <w:pPr>
        <w:ind w:left="3600" w:hanging="360"/>
      </w:pPr>
      <w:rPr>
        <w:rFonts w:ascii="Courier New" w:hAnsi="Courier New" w:eastAsia="Courier New" w:cs="Courier New"/>
        <w:vertAlign w:val="baseline"/>
      </w:rPr>
    </w:lvl>
    <w:lvl w:ilvl="5" w:tentative="0">
      <w:start w:val="1"/>
      <w:numFmt w:val="bullet"/>
      <w:lvlText w:val="▪"/>
      <w:lvlJc w:val="left"/>
      <w:pPr>
        <w:ind w:left="4320" w:hanging="360"/>
      </w:pPr>
      <w:rPr>
        <w:rFonts w:ascii="Noto Sans Symbols" w:hAnsi="Noto Sans Symbols" w:eastAsia="Noto Sans Symbols" w:cs="Noto Sans Symbols"/>
        <w:vertAlign w:val="baseline"/>
      </w:rPr>
    </w:lvl>
    <w:lvl w:ilvl="6" w:tentative="0">
      <w:start w:val="1"/>
      <w:numFmt w:val="bullet"/>
      <w:lvlText w:val="●"/>
      <w:lvlJc w:val="left"/>
      <w:pPr>
        <w:ind w:left="5040" w:hanging="360"/>
      </w:pPr>
      <w:rPr>
        <w:rFonts w:ascii="Noto Sans Symbols" w:hAnsi="Noto Sans Symbols" w:eastAsia="Noto Sans Symbols" w:cs="Noto Sans Symbols"/>
        <w:vertAlign w:val="baseline"/>
      </w:rPr>
    </w:lvl>
    <w:lvl w:ilvl="7" w:tentative="0">
      <w:start w:val="1"/>
      <w:numFmt w:val="bullet"/>
      <w:lvlText w:val="o"/>
      <w:lvlJc w:val="left"/>
      <w:pPr>
        <w:ind w:left="5760" w:hanging="360"/>
      </w:pPr>
      <w:rPr>
        <w:rFonts w:ascii="Courier New" w:hAnsi="Courier New" w:eastAsia="Courier New" w:cs="Courier New"/>
        <w:vertAlign w:val="baseline"/>
      </w:rPr>
    </w:lvl>
    <w:lvl w:ilvl="8" w:tentative="0">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4">
    <w:nsid w:val="2FD0F532"/>
    <w:multiLevelType w:val="singleLevel"/>
    <w:tmpl w:val="2FD0F532"/>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5">
    <w:nsid w:val="3AB72ECC"/>
    <w:multiLevelType w:val="multilevel"/>
    <w:tmpl w:val="3AB72ECC"/>
    <w:lvl w:ilvl="0" w:tentative="0">
      <w:start w:val="1"/>
      <w:numFmt w:val="upperRoman"/>
      <w:lvlText w:val="%1."/>
      <w:lvlJc w:val="right"/>
      <w:pPr>
        <w:ind w:left="720" w:hanging="360"/>
      </w:pPr>
      <w:rPr>
        <w:vertAlign w:val="baseline"/>
      </w:rPr>
    </w:lvl>
    <w:lvl w:ilvl="1" w:tentative="0">
      <w:start w:val="1"/>
      <w:numFmt w:val="lowerLetter"/>
      <w:lvlText w:val="%2."/>
      <w:lvlJc w:val="left"/>
      <w:pPr>
        <w:ind w:left="1440" w:hanging="360"/>
      </w:pPr>
      <w:rPr>
        <w:vertAlign w:val="baseline"/>
      </w:rPr>
    </w:lvl>
    <w:lvl w:ilvl="2" w:tentative="0">
      <w:start w:val="1"/>
      <w:numFmt w:val="lowerRoman"/>
      <w:lvlText w:val="%3."/>
      <w:lvlJc w:val="right"/>
      <w:pPr>
        <w:ind w:left="2160" w:hanging="180"/>
      </w:pPr>
      <w:rPr>
        <w:vertAlign w:val="baseline"/>
      </w:rPr>
    </w:lvl>
    <w:lvl w:ilvl="3" w:tentative="0">
      <w:start w:val="1"/>
      <w:numFmt w:val="decimal"/>
      <w:lvlText w:val="%4."/>
      <w:lvlJc w:val="left"/>
      <w:pPr>
        <w:ind w:left="2880" w:hanging="360"/>
      </w:pPr>
      <w:rPr>
        <w:vertAlign w:val="baseline"/>
      </w:rPr>
    </w:lvl>
    <w:lvl w:ilvl="4" w:tentative="0">
      <w:start w:val="1"/>
      <w:numFmt w:val="lowerLetter"/>
      <w:lvlText w:val="%5."/>
      <w:lvlJc w:val="left"/>
      <w:pPr>
        <w:ind w:left="3600" w:hanging="360"/>
      </w:pPr>
      <w:rPr>
        <w:vertAlign w:val="baseline"/>
      </w:rPr>
    </w:lvl>
    <w:lvl w:ilvl="5" w:tentative="0">
      <w:start w:val="1"/>
      <w:numFmt w:val="lowerRoman"/>
      <w:lvlText w:val="%6."/>
      <w:lvlJc w:val="right"/>
      <w:pPr>
        <w:ind w:left="4320" w:hanging="180"/>
      </w:pPr>
      <w:rPr>
        <w:vertAlign w:val="baseline"/>
      </w:rPr>
    </w:lvl>
    <w:lvl w:ilvl="6" w:tentative="0">
      <w:start w:val="1"/>
      <w:numFmt w:val="decimal"/>
      <w:lvlText w:val="%7."/>
      <w:lvlJc w:val="left"/>
      <w:pPr>
        <w:ind w:left="5040" w:hanging="360"/>
      </w:pPr>
      <w:rPr>
        <w:vertAlign w:val="baseline"/>
      </w:rPr>
    </w:lvl>
    <w:lvl w:ilvl="7" w:tentative="0">
      <w:start w:val="1"/>
      <w:numFmt w:val="lowerLetter"/>
      <w:lvlText w:val="%8."/>
      <w:lvlJc w:val="left"/>
      <w:pPr>
        <w:ind w:left="5760" w:hanging="360"/>
      </w:pPr>
      <w:rPr>
        <w:vertAlign w:val="baseline"/>
      </w:rPr>
    </w:lvl>
    <w:lvl w:ilvl="8" w:tentative="0">
      <w:start w:val="1"/>
      <w:numFmt w:val="lowerRoman"/>
      <w:lvlText w:val="%9."/>
      <w:lvlJc w:val="right"/>
      <w:pPr>
        <w:ind w:left="6480" w:hanging="180"/>
      </w:pPr>
      <w:rPr>
        <w:vertAlign w:val="baseline"/>
      </w:rPr>
    </w:lvl>
  </w:abstractNum>
  <w:abstractNum w:abstractNumId="6">
    <w:nsid w:val="46DA49A2"/>
    <w:multiLevelType w:val="multilevel"/>
    <w:tmpl w:val="46DA49A2"/>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559048D8"/>
    <w:multiLevelType w:val="multilevel"/>
    <w:tmpl w:val="559048D8"/>
    <w:lvl w:ilvl="0" w:tentative="0">
      <w:start w:val="1"/>
      <w:numFmt w:val="decimal"/>
      <w:lvlText w:val="%1."/>
      <w:lvlJc w:val="left"/>
      <w:pPr>
        <w:ind w:left="1077" w:firstLine="3"/>
      </w:pPr>
      <w:rPr>
        <w:rFonts w:ascii="Malacitana-Sans" w:hAnsi="Malacitana-Sans" w:eastAsia="Malacitana-Sans" w:cs="Malacitana-Sans"/>
        <w:b/>
        <w:bCs/>
        <w:sz w:val="22"/>
        <w:szCs w:val="22"/>
        <w:vertAlign w:val="baseline"/>
      </w:rPr>
    </w:lvl>
    <w:lvl w:ilvl="1" w:tentative="0">
      <w:start w:val="1"/>
      <w:numFmt w:val="lowerLetter"/>
      <w:lvlText w:val="%2."/>
      <w:lvlJc w:val="left"/>
      <w:pPr>
        <w:ind w:left="2160" w:hanging="360"/>
      </w:pPr>
      <w:rPr>
        <w:vertAlign w:val="baseline"/>
      </w:rPr>
    </w:lvl>
    <w:lvl w:ilvl="2" w:tentative="0">
      <w:start w:val="1"/>
      <w:numFmt w:val="lowerRoman"/>
      <w:lvlText w:val="%3."/>
      <w:lvlJc w:val="right"/>
      <w:pPr>
        <w:ind w:left="2880" w:hanging="180"/>
      </w:pPr>
      <w:rPr>
        <w:vertAlign w:val="baseline"/>
      </w:rPr>
    </w:lvl>
    <w:lvl w:ilvl="3" w:tentative="0">
      <w:start w:val="1"/>
      <w:numFmt w:val="decimal"/>
      <w:lvlText w:val="%4."/>
      <w:lvlJc w:val="left"/>
      <w:pPr>
        <w:ind w:left="3600" w:hanging="360"/>
      </w:pPr>
      <w:rPr>
        <w:vertAlign w:val="baseline"/>
      </w:rPr>
    </w:lvl>
    <w:lvl w:ilvl="4" w:tentative="0">
      <w:start w:val="1"/>
      <w:numFmt w:val="lowerLetter"/>
      <w:lvlText w:val="%5."/>
      <w:lvlJc w:val="left"/>
      <w:pPr>
        <w:ind w:left="4320" w:hanging="360"/>
      </w:pPr>
      <w:rPr>
        <w:vertAlign w:val="baseline"/>
      </w:rPr>
    </w:lvl>
    <w:lvl w:ilvl="5" w:tentative="0">
      <w:start w:val="1"/>
      <w:numFmt w:val="lowerRoman"/>
      <w:lvlText w:val="%6."/>
      <w:lvlJc w:val="right"/>
      <w:pPr>
        <w:ind w:left="5040" w:hanging="180"/>
      </w:pPr>
      <w:rPr>
        <w:vertAlign w:val="baseline"/>
      </w:rPr>
    </w:lvl>
    <w:lvl w:ilvl="6" w:tentative="0">
      <w:start w:val="1"/>
      <w:numFmt w:val="decimal"/>
      <w:lvlText w:val="%7."/>
      <w:lvlJc w:val="left"/>
      <w:pPr>
        <w:ind w:left="5760" w:hanging="360"/>
      </w:pPr>
      <w:rPr>
        <w:vertAlign w:val="baseline"/>
      </w:rPr>
    </w:lvl>
    <w:lvl w:ilvl="7" w:tentative="0">
      <w:start w:val="1"/>
      <w:numFmt w:val="lowerLetter"/>
      <w:lvlText w:val="%8."/>
      <w:lvlJc w:val="left"/>
      <w:pPr>
        <w:ind w:left="6480" w:hanging="360"/>
      </w:pPr>
      <w:rPr>
        <w:vertAlign w:val="baseline"/>
      </w:rPr>
    </w:lvl>
    <w:lvl w:ilvl="8" w:tentative="0">
      <w:start w:val="1"/>
      <w:numFmt w:val="lowerRoman"/>
      <w:lvlText w:val="%9."/>
      <w:lvlJc w:val="right"/>
      <w:pPr>
        <w:ind w:left="7200" w:hanging="180"/>
      </w:pPr>
      <w:rPr>
        <w:vertAlign w:val="baseline"/>
      </w:rPr>
    </w:lvl>
  </w:abstractNum>
  <w:abstractNum w:abstractNumId="8">
    <w:nsid w:val="5EB46C91"/>
    <w:multiLevelType w:val="multilevel"/>
    <w:tmpl w:val="5EB46C91"/>
    <w:lvl w:ilvl="0" w:tentative="0">
      <w:start w:val="1"/>
      <w:numFmt w:val="decimal"/>
      <w:lvlText w:val="%1. "/>
      <w:lvlJc w:val="left"/>
      <w:pPr>
        <w:ind w:left="360" w:hanging="360"/>
      </w:pPr>
      <w:rPr>
        <w:b/>
        <w:bCs/>
        <w:i w:val="0"/>
        <w:iCs w:val="0"/>
        <w:smallCaps w:val="0"/>
        <w:strike w:val="0"/>
        <w:u w:val="none"/>
        <w:vertAlign w:val="baseline"/>
      </w:rPr>
    </w:lvl>
    <w:lvl w:ilvl="1" w:tentative="0">
      <w:start w:val="1"/>
      <w:numFmt w:val="lowerLetter"/>
      <w:lvlText w:val="%2."/>
      <w:lvlJc w:val="left"/>
      <w:pPr>
        <w:ind w:left="1440" w:hanging="360"/>
      </w:pPr>
      <w:rPr>
        <w:vertAlign w:val="baseline"/>
      </w:rPr>
    </w:lvl>
    <w:lvl w:ilvl="2" w:tentative="0">
      <w:start w:val="1"/>
      <w:numFmt w:val="lowerRoman"/>
      <w:lvlText w:val="%3."/>
      <w:lvlJc w:val="right"/>
      <w:pPr>
        <w:ind w:left="2160" w:hanging="180"/>
      </w:pPr>
      <w:rPr>
        <w:vertAlign w:val="baseline"/>
      </w:rPr>
    </w:lvl>
    <w:lvl w:ilvl="3" w:tentative="0">
      <w:start w:val="1"/>
      <w:numFmt w:val="decimal"/>
      <w:lvlText w:val="%4."/>
      <w:lvlJc w:val="left"/>
      <w:pPr>
        <w:ind w:left="2880" w:hanging="360"/>
      </w:pPr>
      <w:rPr>
        <w:vertAlign w:val="baseline"/>
      </w:rPr>
    </w:lvl>
    <w:lvl w:ilvl="4" w:tentative="0">
      <w:start w:val="1"/>
      <w:numFmt w:val="lowerLetter"/>
      <w:lvlText w:val="%5."/>
      <w:lvlJc w:val="left"/>
      <w:pPr>
        <w:ind w:left="3600" w:hanging="360"/>
      </w:pPr>
      <w:rPr>
        <w:vertAlign w:val="baseline"/>
      </w:rPr>
    </w:lvl>
    <w:lvl w:ilvl="5" w:tentative="0">
      <w:start w:val="1"/>
      <w:numFmt w:val="lowerRoman"/>
      <w:lvlText w:val="%6."/>
      <w:lvlJc w:val="right"/>
      <w:pPr>
        <w:ind w:left="4320" w:hanging="180"/>
      </w:pPr>
      <w:rPr>
        <w:vertAlign w:val="baseline"/>
      </w:rPr>
    </w:lvl>
    <w:lvl w:ilvl="6" w:tentative="0">
      <w:start w:val="1"/>
      <w:numFmt w:val="decimal"/>
      <w:lvlText w:val="%7."/>
      <w:lvlJc w:val="left"/>
      <w:pPr>
        <w:ind w:left="5040" w:hanging="360"/>
      </w:pPr>
      <w:rPr>
        <w:vertAlign w:val="baseline"/>
      </w:rPr>
    </w:lvl>
    <w:lvl w:ilvl="7" w:tentative="0">
      <w:start w:val="1"/>
      <w:numFmt w:val="lowerLetter"/>
      <w:lvlText w:val="%8."/>
      <w:lvlJc w:val="left"/>
      <w:pPr>
        <w:ind w:left="5760" w:hanging="360"/>
      </w:pPr>
      <w:rPr>
        <w:vertAlign w:val="baseline"/>
      </w:rPr>
    </w:lvl>
    <w:lvl w:ilvl="8" w:tentative="0">
      <w:start w:val="1"/>
      <w:numFmt w:val="lowerRoman"/>
      <w:lvlText w:val="%9."/>
      <w:lvlJc w:val="right"/>
      <w:pPr>
        <w:ind w:left="6480" w:hanging="180"/>
      </w:pPr>
      <w:rPr>
        <w:vertAlign w:val="baseline"/>
      </w:rPr>
    </w:lvl>
  </w:abstractNum>
  <w:abstractNum w:abstractNumId="9">
    <w:nsid w:val="67B25E3E"/>
    <w:multiLevelType w:val="multilevel"/>
    <w:tmpl w:val="67B25E3E"/>
    <w:lvl w:ilvl="0" w:tentative="0">
      <w:start w:val="1"/>
      <w:numFmt w:val="decimal"/>
      <w:lvlText w:val="%1."/>
      <w:lvlJc w:val="left"/>
      <w:pPr>
        <w:ind w:left="0" w:firstLine="0"/>
      </w:pPr>
      <w:rPr>
        <w:vertAlign w:val="baseline"/>
      </w:rPr>
    </w:lvl>
    <w:lvl w:ilvl="1" w:tentative="0">
      <w:start w:val="1"/>
      <w:numFmt w:val="lowerLetter"/>
      <w:lvlText w:val="%2."/>
      <w:lvlJc w:val="left"/>
      <w:pPr>
        <w:ind w:left="1440" w:hanging="360"/>
      </w:pPr>
      <w:rPr>
        <w:vertAlign w:val="baseline"/>
      </w:rPr>
    </w:lvl>
    <w:lvl w:ilvl="2" w:tentative="0">
      <w:start w:val="1"/>
      <w:numFmt w:val="lowerRoman"/>
      <w:lvlText w:val="%3."/>
      <w:lvlJc w:val="right"/>
      <w:pPr>
        <w:ind w:left="2160" w:hanging="180"/>
      </w:pPr>
      <w:rPr>
        <w:vertAlign w:val="baseline"/>
      </w:rPr>
    </w:lvl>
    <w:lvl w:ilvl="3" w:tentative="0">
      <w:start w:val="1"/>
      <w:numFmt w:val="decimal"/>
      <w:lvlText w:val="%4."/>
      <w:lvlJc w:val="left"/>
      <w:pPr>
        <w:ind w:left="2880" w:hanging="360"/>
      </w:pPr>
      <w:rPr>
        <w:vertAlign w:val="baseline"/>
      </w:rPr>
    </w:lvl>
    <w:lvl w:ilvl="4" w:tentative="0">
      <w:start w:val="1"/>
      <w:numFmt w:val="lowerLetter"/>
      <w:lvlText w:val="%5."/>
      <w:lvlJc w:val="left"/>
      <w:pPr>
        <w:ind w:left="3600" w:hanging="360"/>
      </w:pPr>
      <w:rPr>
        <w:vertAlign w:val="baseline"/>
      </w:rPr>
    </w:lvl>
    <w:lvl w:ilvl="5" w:tentative="0">
      <w:start w:val="1"/>
      <w:numFmt w:val="lowerRoman"/>
      <w:lvlText w:val="%6."/>
      <w:lvlJc w:val="right"/>
      <w:pPr>
        <w:ind w:left="4320" w:hanging="180"/>
      </w:pPr>
      <w:rPr>
        <w:vertAlign w:val="baseline"/>
      </w:rPr>
    </w:lvl>
    <w:lvl w:ilvl="6" w:tentative="0">
      <w:start w:val="1"/>
      <w:numFmt w:val="decimal"/>
      <w:lvlText w:val="%7."/>
      <w:lvlJc w:val="left"/>
      <w:pPr>
        <w:ind w:left="5040" w:hanging="360"/>
      </w:pPr>
      <w:rPr>
        <w:vertAlign w:val="baseline"/>
      </w:rPr>
    </w:lvl>
    <w:lvl w:ilvl="7" w:tentative="0">
      <w:start w:val="1"/>
      <w:numFmt w:val="lowerLetter"/>
      <w:lvlText w:val="%8."/>
      <w:lvlJc w:val="left"/>
      <w:pPr>
        <w:ind w:left="5760" w:hanging="360"/>
      </w:pPr>
      <w:rPr>
        <w:vertAlign w:val="baseline"/>
      </w:rPr>
    </w:lvl>
    <w:lvl w:ilvl="8" w:tentative="0">
      <w:start w:val="1"/>
      <w:numFmt w:val="lowerRoman"/>
      <w:lvlText w:val="%9."/>
      <w:lvlJc w:val="right"/>
      <w:pPr>
        <w:ind w:left="6480" w:hanging="180"/>
      </w:pPr>
      <w:rPr>
        <w:vertAlign w:val="baseline"/>
      </w:rPr>
    </w:lvl>
  </w:abstractNum>
  <w:num w:numId="1">
    <w:abstractNumId w:val="1"/>
  </w:num>
  <w:num w:numId="2">
    <w:abstractNumId w:val="8"/>
  </w:num>
  <w:num w:numId="3">
    <w:abstractNumId w:val="9"/>
  </w:num>
  <w:num w:numId="4">
    <w:abstractNumId w:val="3"/>
  </w:num>
  <w:num w:numId="5">
    <w:abstractNumId w:val="4"/>
  </w:num>
  <w:num w:numId="6">
    <w:abstractNumId w:val="0"/>
  </w:num>
  <w:num w:numId="7">
    <w:abstractNumId w:val="2"/>
  </w:num>
  <w:num w:numId="8">
    <w:abstractNumId w:val="7"/>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3E7"/>
    <w:rsid w:val="001873E7"/>
    <w:rsid w:val="005A37CF"/>
    <w:rsid w:val="005B7781"/>
    <w:rsid w:val="00853040"/>
    <w:rsid w:val="00976A14"/>
    <w:rsid w:val="00AB2554"/>
    <w:rsid w:val="00B47505"/>
    <w:rsid w:val="13913488"/>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0" w:semiHidden="0" w:name="footnote reference"/>
    <w:lsdException w:unhideWhenUsed="0" w:uiPriority="0" w:semiHidden="0" w:name="annotation reference"/>
    <w:lsdException w:uiPriority="99" w:name="line number"/>
    <w:lsdException w:unhideWhenUsed="0" w:uiPriority="0" w:semiHidden="0" w:name="page number"/>
    <w:lsdException w:unhideWhenUsed="0" w:uiPriority="0" w:semiHidden="0" w:name="endnote reference"/>
    <w:lsdException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0" w:semiHidden="0" w:name="Light Shading Accent 4"/>
    <w:lsdException w:unhideWhenUsed="0" w:uiPriority="61" w:semiHidden="0" w:name="Light List Accent 4"/>
    <w:lsdException w:unhideWhenUsed="0" w:uiPriority="0"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lang w:val="en" w:eastAsia="es-ES" w:bidi="ar-SA"/>
    </w:rPr>
  </w:style>
  <w:style w:type="paragraph" w:styleId="2">
    <w:name w:val="heading 1"/>
    <w:basedOn w:val="1"/>
    <w:next w:val="1"/>
    <w:qFormat/>
    <w:uiPriority w:val="9"/>
    <w:pPr>
      <w:keepNext/>
      <w:keepLines/>
      <w:spacing w:before="480" w:after="120"/>
      <w:outlineLvl w:val="0"/>
    </w:pPr>
    <w:rPr>
      <w:b/>
      <w:bCs/>
      <w:sz w:val="48"/>
      <w:szCs w:val="48"/>
    </w:rPr>
  </w:style>
  <w:style w:type="paragraph" w:styleId="3">
    <w:name w:val="heading 2"/>
    <w:basedOn w:val="1"/>
    <w:next w:val="1"/>
    <w:semiHidden/>
    <w:unhideWhenUsed/>
    <w:qFormat/>
    <w:uiPriority w:val="9"/>
    <w:pPr>
      <w:keepNext/>
      <w:keepLines/>
      <w:spacing w:before="360" w:after="80"/>
      <w:outlineLvl w:val="1"/>
    </w:pPr>
    <w:rPr>
      <w:b/>
      <w:bCs/>
      <w:sz w:val="36"/>
      <w:szCs w:val="36"/>
    </w:rPr>
  </w:style>
  <w:style w:type="paragraph" w:styleId="4">
    <w:name w:val="heading 3"/>
    <w:basedOn w:val="1"/>
    <w:next w:val="1"/>
    <w:semiHidden/>
    <w:unhideWhenUsed/>
    <w:qFormat/>
    <w:uiPriority w:val="9"/>
    <w:pPr>
      <w:keepNext/>
      <w:keepLines/>
      <w:spacing w:before="280" w:after="80"/>
      <w:outlineLvl w:val="2"/>
    </w:pPr>
    <w:rPr>
      <w:b/>
      <w:bCs/>
      <w:sz w:val="28"/>
      <w:szCs w:val="28"/>
    </w:rPr>
  </w:style>
  <w:style w:type="paragraph" w:styleId="5">
    <w:name w:val="heading 4"/>
    <w:basedOn w:val="1"/>
    <w:next w:val="1"/>
    <w:semiHidden/>
    <w:unhideWhenUsed/>
    <w:qFormat/>
    <w:uiPriority w:val="9"/>
    <w:pPr>
      <w:keepNext/>
      <w:keepLines/>
      <w:spacing w:before="240" w:after="40"/>
      <w:outlineLvl w:val="3"/>
    </w:pPr>
    <w:rPr>
      <w:b/>
      <w:bCs/>
      <w:sz w:val="24"/>
      <w:szCs w:val="24"/>
    </w:rPr>
  </w:style>
  <w:style w:type="paragraph" w:styleId="6">
    <w:name w:val="heading 5"/>
    <w:basedOn w:val="1"/>
    <w:next w:val="1"/>
    <w:semiHidden/>
    <w:unhideWhenUsed/>
    <w:qFormat/>
    <w:uiPriority w:val="9"/>
    <w:pPr>
      <w:keepNext/>
      <w:keepLines/>
      <w:spacing w:before="220" w:after="40"/>
      <w:outlineLvl w:val="4"/>
    </w:pPr>
    <w:rPr>
      <w:b/>
      <w:bCs/>
      <w:sz w:val="22"/>
      <w:szCs w:val="22"/>
    </w:rPr>
  </w:style>
  <w:style w:type="paragraph" w:styleId="7">
    <w:name w:val="heading 6"/>
    <w:basedOn w:val="1"/>
    <w:next w:val="1"/>
    <w:semiHidden/>
    <w:unhideWhenUsed/>
    <w:qFormat/>
    <w:uiPriority w:val="9"/>
    <w:pPr>
      <w:keepNext/>
      <w:keepLines/>
      <w:spacing w:before="200" w:after="40"/>
      <w:outlineLvl w:val="5"/>
    </w:pPr>
    <w:rPr>
      <w:b/>
      <w:bCs/>
    </w:rPr>
  </w:style>
  <w:style w:type="character" w:default="1" w:styleId="8">
    <w:name w:val="Default Paragraph Font"/>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Balloon Text"/>
    <w:basedOn w:val="1"/>
    <w:qFormat/>
    <w:uiPriority w:val="0"/>
    <w:pPr>
      <w:suppressAutoHyphens/>
      <w:spacing w:line="1" w:lineRule="atLeast"/>
      <w:ind w:left="-1" w:leftChars="-1" w:hanging="1" w:hangingChars="1"/>
      <w:textAlignment w:val="top"/>
      <w:outlineLvl w:val="0"/>
    </w:pPr>
    <w:rPr>
      <w:rFonts w:ascii="Tahoma" w:hAnsi="Tahoma"/>
      <w:position w:val="-1"/>
      <w:sz w:val="16"/>
      <w:szCs w:val="16"/>
      <w:lang w:val="pl-PL" w:eastAsia="en-US"/>
    </w:rPr>
  </w:style>
  <w:style w:type="paragraph" w:styleId="11">
    <w:name w:val="Body Text"/>
    <w:basedOn w:val="1"/>
    <w:uiPriority w:val="0"/>
    <w:pPr>
      <w:suppressAutoHyphens/>
      <w:spacing w:after="200" w:line="276" w:lineRule="auto"/>
      <w:ind w:left="-1" w:leftChars="-1" w:hanging="1" w:hangingChars="1"/>
      <w:jc w:val="right"/>
      <w:textAlignment w:val="top"/>
      <w:outlineLvl w:val="0"/>
    </w:pPr>
    <w:rPr>
      <w:rFonts w:ascii="ZapfHumnst Dm BT" w:hAnsi="ZapfHumnst Dm BT"/>
      <w:position w:val="-1"/>
      <w:szCs w:val="22"/>
      <w:lang w:val="pl-PL" w:eastAsia="en-US"/>
    </w:rPr>
  </w:style>
  <w:style w:type="paragraph" w:styleId="12">
    <w:name w:val="Body Text 2"/>
    <w:basedOn w:val="1"/>
    <w:uiPriority w:val="0"/>
    <w:pPr>
      <w:suppressAutoHyphens/>
      <w:spacing w:after="200" w:line="276" w:lineRule="auto"/>
      <w:ind w:left="-1" w:leftChars="-1" w:hanging="1" w:hangingChars="1"/>
      <w:jc w:val="both"/>
      <w:textAlignment w:val="top"/>
      <w:outlineLvl w:val="0"/>
    </w:pPr>
    <w:rPr>
      <w:rFonts w:ascii="ZapfHumnst BT" w:hAnsi="ZapfHumnst BT"/>
      <w:position w:val="-1"/>
      <w:sz w:val="22"/>
      <w:szCs w:val="22"/>
      <w:lang w:val="pl-PL" w:eastAsia="en-US"/>
    </w:rPr>
  </w:style>
  <w:style w:type="character" w:styleId="13">
    <w:name w:val="annotation reference"/>
    <w:uiPriority w:val="0"/>
    <w:rPr>
      <w:w w:val="100"/>
      <w:position w:val="-1"/>
      <w:sz w:val="16"/>
      <w:szCs w:val="16"/>
      <w:vertAlign w:val="baseline"/>
      <w:cs w:val="0"/>
    </w:rPr>
  </w:style>
  <w:style w:type="paragraph" w:styleId="14">
    <w:name w:val="annotation text"/>
    <w:basedOn w:val="1"/>
    <w:uiPriority w:val="0"/>
    <w:pPr>
      <w:suppressAutoHyphens/>
      <w:spacing w:after="160" w:line="259" w:lineRule="auto"/>
      <w:ind w:left="-1" w:leftChars="-1" w:hanging="1" w:hangingChars="1"/>
      <w:textAlignment w:val="top"/>
      <w:outlineLvl w:val="0"/>
    </w:pPr>
    <w:rPr>
      <w:rFonts w:ascii="Corbel" w:hAnsi="Corbel"/>
      <w:position w:val="-1"/>
      <w:sz w:val="22"/>
      <w:szCs w:val="22"/>
      <w:lang w:val="de-DE" w:eastAsia="ar-SA"/>
    </w:rPr>
  </w:style>
  <w:style w:type="paragraph" w:styleId="15">
    <w:name w:val="annotation subject"/>
    <w:basedOn w:val="14"/>
    <w:next w:val="14"/>
    <w:uiPriority w:val="0"/>
    <w:pPr>
      <w:suppressAutoHyphens w:val="0"/>
      <w:spacing w:after="0" w:line="240" w:lineRule="auto"/>
    </w:pPr>
    <w:rPr>
      <w:b/>
      <w:bCs/>
    </w:rPr>
  </w:style>
  <w:style w:type="character" w:styleId="16">
    <w:name w:val="endnote reference"/>
    <w:uiPriority w:val="0"/>
    <w:rPr>
      <w:w w:val="100"/>
      <w:position w:val="-1"/>
      <w:vertAlign w:val="superscript"/>
      <w:cs w:val="0"/>
    </w:rPr>
  </w:style>
  <w:style w:type="paragraph" w:styleId="17">
    <w:name w:val="endnote text"/>
    <w:basedOn w:val="1"/>
    <w:uiPriority w:val="0"/>
    <w:pPr>
      <w:spacing w:line="1" w:lineRule="atLeast"/>
      <w:ind w:left="-1" w:leftChars="-1" w:hanging="1" w:hangingChars="1"/>
      <w:textAlignment w:val="top"/>
      <w:outlineLvl w:val="0"/>
    </w:pPr>
    <w:rPr>
      <w:position w:val="-1"/>
      <w:lang w:val="de-DE" w:eastAsia="ar-SA"/>
    </w:rPr>
  </w:style>
  <w:style w:type="character" w:styleId="18">
    <w:name w:val="FollowedHyperlink"/>
    <w:uiPriority w:val="0"/>
    <w:rPr>
      <w:color w:val="800080"/>
      <w:w w:val="100"/>
      <w:position w:val="-1"/>
      <w:u w:val="single"/>
      <w:vertAlign w:val="baseline"/>
      <w:cs w:val="0"/>
    </w:rPr>
  </w:style>
  <w:style w:type="paragraph" w:styleId="19">
    <w:name w:val="footer"/>
    <w:basedOn w:val="1"/>
    <w:uiPriority w:val="0"/>
    <w:pPr>
      <w:suppressAutoHyphens/>
      <w:spacing w:after="200" w:line="276" w:lineRule="auto"/>
      <w:ind w:left="-1" w:leftChars="-1" w:hanging="1" w:hangingChars="1"/>
      <w:textAlignment w:val="top"/>
      <w:outlineLvl w:val="0"/>
    </w:pPr>
    <w:rPr>
      <w:rFonts w:ascii="Calibri" w:hAnsi="Calibri"/>
      <w:position w:val="-1"/>
      <w:sz w:val="22"/>
      <w:szCs w:val="22"/>
      <w:lang w:val="pl-PL" w:eastAsia="en-US"/>
    </w:rPr>
  </w:style>
  <w:style w:type="character" w:styleId="20">
    <w:name w:val="footnote reference"/>
    <w:uiPriority w:val="0"/>
    <w:rPr>
      <w:w w:val="100"/>
      <w:position w:val="-1"/>
      <w:vertAlign w:val="superscript"/>
      <w:cs w:val="0"/>
    </w:rPr>
  </w:style>
  <w:style w:type="paragraph" w:styleId="21">
    <w:name w:val="footnote text"/>
    <w:basedOn w:val="1"/>
    <w:uiPriority w:val="0"/>
    <w:pPr>
      <w:spacing w:line="1" w:lineRule="atLeast"/>
      <w:ind w:left="-1" w:leftChars="-1" w:hanging="1" w:hangingChars="1"/>
      <w:textAlignment w:val="top"/>
      <w:outlineLvl w:val="0"/>
    </w:pPr>
    <w:rPr>
      <w:position w:val="-1"/>
      <w:lang w:val="de-DE" w:eastAsia="ar-SA"/>
    </w:rPr>
  </w:style>
  <w:style w:type="paragraph" w:styleId="22">
    <w:name w:val="header"/>
    <w:basedOn w:val="1"/>
    <w:qFormat/>
    <w:uiPriority w:val="0"/>
    <w:pPr>
      <w:suppressAutoHyphens/>
      <w:spacing w:after="200" w:line="276" w:lineRule="auto"/>
      <w:ind w:left="-1" w:leftChars="-1" w:hanging="1" w:hangingChars="1"/>
      <w:textAlignment w:val="top"/>
      <w:outlineLvl w:val="0"/>
    </w:pPr>
    <w:rPr>
      <w:rFonts w:ascii="Calibri" w:hAnsi="Calibri"/>
      <w:position w:val="-1"/>
      <w:sz w:val="22"/>
      <w:szCs w:val="22"/>
      <w:lang w:val="pl-PL" w:eastAsia="en-US"/>
    </w:rPr>
  </w:style>
  <w:style w:type="character" w:styleId="23">
    <w:name w:val="Hyperlink"/>
    <w:uiPriority w:val="0"/>
    <w:rPr>
      <w:color w:val="0000FF"/>
      <w:w w:val="100"/>
      <w:position w:val="-1"/>
      <w:u w:val="single"/>
      <w:vertAlign w:val="baseline"/>
      <w:cs w:val="0"/>
    </w:rPr>
  </w:style>
  <w:style w:type="paragraph" w:styleId="24">
    <w:name w:val="Normal (Web)"/>
    <w:basedOn w:val="1"/>
    <w:uiPriority w:val="0"/>
    <w:pPr>
      <w:suppressAutoHyphens/>
      <w:spacing w:before="100" w:beforeAutospacing="1" w:after="100" w:afterAutospacing="1" w:line="1" w:lineRule="atLeast"/>
      <w:ind w:left="-1" w:leftChars="-1" w:hanging="1" w:hangingChars="1"/>
      <w:textAlignment w:val="top"/>
      <w:outlineLvl w:val="0"/>
    </w:pPr>
    <w:rPr>
      <w:position w:val="-1"/>
      <w:sz w:val="24"/>
      <w:szCs w:val="24"/>
      <w:lang w:val="es-ES"/>
    </w:rPr>
  </w:style>
  <w:style w:type="character" w:styleId="25">
    <w:name w:val="page number"/>
    <w:basedOn w:val="8"/>
    <w:uiPriority w:val="0"/>
    <w:rPr>
      <w:w w:val="100"/>
      <w:position w:val="-1"/>
      <w:vertAlign w:val="baseline"/>
      <w:cs w:val="0"/>
    </w:rPr>
  </w:style>
  <w:style w:type="paragraph" w:styleId="26">
    <w:name w:val="Subtitle"/>
    <w:basedOn w:val="1"/>
    <w:next w:val="1"/>
    <w:qFormat/>
    <w:uiPriority w:val="11"/>
    <w:pPr>
      <w:keepNext/>
      <w:keepLines/>
      <w:spacing w:before="360" w:after="80"/>
    </w:pPr>
    <w:rPr>
      <w:rFonts w:ascii="Georgia" w:hAnsi="Georgia" w:eastAsia="Georgia" w:cs="Georgia"/>
      <w:i/>
      <w:iCs/>
      <w:color w:val="666666"/>
      <w:sz w:val="48"/>
      <w:szCs w:val="48"/>
    </w:rPr>
  </w:style>
  <w:style w:type="table" w:styleId="27">
    <w:name w:val="Table Grid"/>
    <w:basedOn w:val="9"/>
    <w:qFormat/>
    <w:uiPriority w:val="0"/>
    <w:pPr>
      <w:suppressAutoHyphens/>
      <w:spacing w:line="1" w:lineRule="atLeast"/>
      <w:ind w:left="-1" w:leftChars="-1" w:hanging="1" w:hangingChars="1"/>
      <w:textAlignment w:val="top"/>
      <w:outlineLvl w:val="0"/>
    </w:pPr>
    <w:rPr>
      <w:position w:val="-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8">
    <w:name w:val="Title"/>
    <w:basedOn w:val="1"/>
    <w:next w:val="1"/>
    <w:qFormat/>
    <w:uiPriority w:val="10"/>
    <w:pPr>
      <w:keepNext/>
      <w:keepLines/>
      <w:spacing w:before="480" w:after="120"/>
    </w:pPr>
    <w:rPr>
      <w:b/>
      <w:bCs/>
      <w:sz w:val="72"/>
      <w:szCs w:val="72"/>
    </w:rPr>
  </w:style>
  <w:style w:type="table" w:styleId="29">
    <w:name w:val="Light Shading Accent 4"/>
    <w:basedOn w:val="9"/>
    <w:uiPriority w:val="0"/>
    <w:pPr>
      <w:suppressAutoHyphens/>
      <w:spacing w:line="1" w:lineRule="atLeast"/>
      <w:ind w:left="-1" w:leftChars="-1" w:hanging="1" w:hangingChars="1"/>
      <w:textAlignment w:val="top"/>
      <w:outlineLvl w:val="0"/>
    </w:pPr>
    <w:rPr>
      <w:rFonts w:ascii="Calibri" w:hAnsi="Calibri" w:eastAsia="Calibri"/>
      <w:color w:val="5F497A"/>
      <w:position w:val="-1"/>
      <w:sz w:val="22"/>
      <w:szCs w:val="22"/>
      <w:lang w:eastAsia="en-US"/>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30">
    <w:name w:val="Light Grid Accent 4"/>
    <w:basedOn w:val="9"/>
    <w:uiPriority w:val="0"/>
    <w:pPr>
      <w:suppressAutoHyphens/>
      <w:spacing w:line="1" w:lineRule="atLeast"/>
      <w:ind w:left="-1" w:leftChars="-1" w:hanging="1" w:hangingChars="1"/>
      <w:textAlignment w:val="top"/>
      <w:outlineLvl w:val="0"/>
    </w:pPr>
    <w:rPr>
      <w:rFonts w:ascii="Calibri" w:hAnsi="Calibri" w:eastAsia="Calibri"/>
      <w:position w:val="-1"/>
      <w:sz w:val="22"/>
      <w:szCs w:val="22"/>
      <w:lang w:eastAsia="en-US"/>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customStyle="1" w:styleId="31">
    <w:name w:val="TableNormal"/>
    <w:qFormat/>
    <w:uiPriority w:val="0"/>
    <w:tblPr>
      <w:tblCellMar>
        <w:top w:w="100" w:type="dxa"/>
        <w:left w:w="100" w:type="dxa"/>
        <w:bottom w:w="100" w:type="dxa"/>
        <w:right w:w="100" w:type="dxa"/>
      </w:tblCellMar>
    </w:tblPr>
  </w:style>
  <w:style w:type="paragraph" w:customStyle="1" w:styleId="32">
    <w:name w:val="CM1"/>
    <w:basedOn w:val="1"/>
    <w:next w:val="1"/>
    <w:uiPriority w:val="0"/>
    <w:pPr>
      <w:widowControl w:val="0"/>
      <w:suppressAutoHyphens/>
      <w:autoSpaceDE w:val="0"/>
      <w:autoSpaceDN w:val="0"/>
      <w:adjustRightInd w:val="0"/>
      <w:spacing w:after="200" w:line="231" w:lineRule="atLeast"/>
      <w:ind w:left="-1" w:leftChars="-1" w:hanging="1" w:hangingChars="1"/>
      <w:textAlignment w:val="top"/>
      <w:outlineLvl w:val="0"/>
    </w:pPr>
    <w:rPr>
      <w:rFonts w:ascii="Arial" w:hAnsi="Arial"/>
      <w:position w:val="-1"/>
      <w:sz w:val="22"/>
      <w:szCs w:val="22"/>
      <w:lang w:val="pl-PL" w:eastAsia="en-US"/>
    </w:rPr>
  </w:style>
  <w:style w:type="paragraph" w:customStyle="1" w:styleId="33">
    <w:name w:val="Párrafo de lista1"/>
    <w:basedOn w:val="1"/>
    <w:uiPriority w:val="0"/>
    <w:pPr>
      <w:suppressAutoHyphens/>
      <w:spacing w:after="200" w:line="276" w:lineRule="auto"/>
      <w:ind w:left="720" w:leftChars="-1" w:hanging="1" w:hangingChars="1"/>
      <w:textAlignment w:val="top"/>
      <w:outlineLvl w:val="0"/>
    </w:pPr>
    <w:rPr>
      <w:rFonts w:ascii="Calibri" w:hAnsi="Calibri"/>
      <w:position w:val="-1"/>
      <w:sz w:val="22"/>
      <w:szCs w:val="22"/>
      <w:lang w:val="pl-PL" w:eastAsia="en-US"/>
    </w:rPr>
  </w:style>
  <w:style w:type="character" w:customStyle="1" w:styleId="34">
    <w:name w:val="Texto de globo Car"/>
    <w:uiPriority w:val="0"/>
    <w:rPr>
      <w:rFonts w:ascii="Tahoma" w:hAnsi="Tahoma" w:cs="Tahoma"/>
      <w:w w:val="100"/>
      <w:position w:val="-1"/>
      <w:sz w:val="16"/>
      <w:szCs w:val="16"/>
      <w:vertAlign w:val="baseline"/>
      <w:cs w:val="0"/>
      <w:lang w:val="pl-PL" w:eastAsia="en-US"/>
    </w:rPr>
  </w:style>
  <w:style w:type="character" w:customStyle="1" w:styleId="35">
    <w:name w:val="ssmodtime1"/>
    <w:qFormat/>
    <w:uiPriority w:val="0"/>
    <w:rPr>
      <w:color w:val="808080"/>
      <w:w w:val="100"/>
      <w:position w:val="-1"/>
      <w:sz w:val="20"/>
      <w:szCs w:val="20"/>
      <w:vertAlign w:val="baseline"/>
      <w:cs w:val="0"/>
    </w:rPr>
  </w:style>
  <w:style w:type="paragraph" w:styleId="36">
    <w:name w:val="List Paragraph"/>
    <w:basedOn w:val="1"/>
    <w:uiPriority w:val="0"/>
    <w:pPr>
      <w:suppressAutoHyphens/>
      <w:spacing w:after="200" w:line="276" w:lineRule="auto"/>
      <w:ind w:left="720" w:leftChars="-1" w:hanging="1" w:hangingChars="1"/>
      <w:contextualSpacing/>
      <w:textAlignment w:val="top"/>
      <w:outlineLvl w:val="0"/>
    </w:pPr>
    <w:rPr>
      <w:rFonts w:ascii="Calibri" w:hAnsi="Calibri" w:eastAsia="Calibri"/>
      <w:position w:val="-1"/>
      <w:sz w:val="22"/>
      <w:szCs w:val="22"/>
      <w:lang w:val="es-ES" w:eastAsia="en-US"/>
    </w:rPr>
  </w:style>
  <w:style w:type="character" w:customStyle="1" w:styleId="37">
    <w:name w:val="Pie de página Car"/>
    <w:uiPriority w:val="0"/>
    <w:rPr>
      <w:rFonts w:ascii="Calibri" w:hAnsi="Calibri"/>
      <w:w w:val="100"/>
      <w:position w:val="-1"/>
      <w:sz w:val="22"/>
      <w:szCs w:val="22"/>
      <w:vertAlign w:val="baseline"/>
      <w:cs w:val="0"/>
      <w:lang w:val="pl-PL" w:eastAsia="en-US"/>
    </w:rPr>
  </w:style>
  <w:style w:type="paragraph" w:customStyle="1" w:styleId="38">
    <w:name w:val="Default"/>
    <w:uiPriority w:val="0"/>
    <w:pPr>
      <w:suppressAutoHyphens/>
      <w:autoSpaceDE w:val="0"/>
      <w:autoSpaceDN w:val="0"/>
      <w:adjustRightInd w:val="0"/>
      <w:spacing w:line="1" w:lineRule="atLeast"/>
      <w:ind w:left="-1" w:leftChars="-1" w:hanging="1" w:hangingChars="1"/>
      <w:textAlignment w:val="top"/>
      <w:outlineLvl w:val="0"/>
    </w:pPr>
    <w:rPr>
      <w:rFonts w:ascii="Verdana" w:hAnsi="Verdana" w:eastAsia="Times New Roman" w:cs="Verdana"/>
      <w:color w:val="000000"/>
      <w:position w:val="-1"/>
      <w:sz w:val="24"/>
      <w:szCs w:val="24"/>
      <w:lang w:val="es-ES" w:eastAsia="es-ES" w:bidi="ar-SA"/>
    </w:rPr>
  </w:style>
  <w:style w:type="character" w:customStyle="1" w:styleId="39">
    <w:name w:val="Texto nota al final Car"/>
    <w:uiPriority w:val="0"/>
    <w:rPr>
      <w:w w:val="100"/>
      <w:position w:val="-1"/>
      <w:vertAlign w:val="baseline"/>
      <w:cs w:val="0"/>
      <w:lang w:val="de-DE" w:eastAsia="ar-SA"/>
    </w:rPr>
  </w:style>
  <w:style w:type="character" w:customStyle="1" w:styleId="40">
    <w:name w:val="Texto nota pie Car"/>
    <w:uiPriority w:val="0"/>
    <w:rPr>
      <w:w w:val="100"/>
      <w:position w:val="-1"/>
      <w:vertAlign w:val="baseline"/>
      <w:cs w:val="0"/>
      <w:lang w:val="de-DE" w:eastAsia="ar-SA"/>
    </w:rPr>
  </w:style>
  <w:style w:type="paragraph" w:customStyle="1" w:styleId="41">
    <w:name w:val="CM7"/>
    <w:basedOn w:val="38"/>
    <w:next w:val="38"/>
    <w:uiPriority w:val="0"/>
    <w:pPr>
      <w:widowControl w:val="0"/>
      <w:spacing w:line="231" w:lineRule="atLeast"/>
    </w:pPr>
    <w:rPr>
      <w:rFonts w:ascii="Arial" w:hAnsi="Arial" w:cs="Times New Roman"/>
      <w:color w:val="auto"/>
    </w:rPr>
  </w:style>
  <w:style w:type="paragraph" w:customStyle="1" w:styleId="42">
    <w:name w:val="CM9"/>
    <w:basedOn w:val="38"/>
    <w:next w:val="38"/>
    <w:uiPriority w:val="0"/>
    <w:pPr>
      <w:widowControl w:val="0"/>
      <w:spacing w:after="230"/>
    </w:pPr>
    <w:rPr>
      <w:rFonts w:ascii="Arial" w:hAnsi="Arial" w:cs="Times New Roman"/>
      <w:color w:val="auto"/>
    </w:rPr>
  </w:style>
  <w:style w:type="character" w:customStyle="1" w:styleId="43">
    <w:name w:val="Texto comentario Car"/>
    <w:uiPriority w:val="0"/>
    <w:rPr>
      <w:rFonts w:ascii="Corbel" w:hAnsi="Corbel"/>
      <w:w w:val="100"/>
      <w:position w:val="-1"/>
      <w:sz w:val="22"/>
      <w:szCs w:val="22"/>
      <w:vertAlign w:val="baseline"/>
      <w:cs w:val="0"/>
    </w:rPr>
  </w:style>
  <w:style w:type="character" w:customStyle="1" w:styleId="44">
    <w:name w:val="Asunto del comentario Car"/>
    <w:uiPriority w:val="0"/>
    <w:rPr>
      <w:rFonts w:ascii="Corbel" w:hAnsi="Corbel"/>
      <w:b/>
      <w:bCs/>
      <w:w w:val="100"/>
      <w:position w:val="-1"/>
      <w:sz w:val="22"/>
      <w:szCs w:val="22"/>
      <w:vertAlign w:val="baseline"/>
      <w:cs w:val="0"/>
      <w:lang w:val="de-DE" w:eastAsia="ar-SA"/>
    </w:rPr>
  </w:style>
  <w:style w:type="character" w:customStyle="1" w:styleId="45">
    <w:name w:val="Unresolved Mention"/>
    <w:qFormat/>
    <w:uiPriority w:val="0"/>
    <w:rPr>
      <w:color w:val="605E5C"/>
      <w:w w:val="100"/>
      <w:position w:val="-1"/>
      <w:shd w:val="clear" w:color="auto" w:fill="E1DFDD"/>
      <w:vertAlign w:val="baseline"/>
      <w:cs w:val="0"/>
    </w:rPr>
  </w:style>
  <w:style w:type="paragraph" w:customStyle="1" w:styleId="46">
    <w:name w:val="004. Apartado"/>
    <w:basedOn w:val="38"/>
    <w:uiPriority w:val="0"/>
    <w:pPr>
      <w:spacing w:after="120"/>
      <w:ind w:left="425"/>
    </w:pPr>
    <w:rPr>
      <w:rFonts w:ascii="Malacitana-Sans" w:hAnsi="Malacitana-Sans" w:cs="Arial"/>
      <w:b/>
      <w:bCs/>
      <w:color w:val="003366"/>
      <w:lang w:val="en-US" w:eastAsia="en-US"/>
    </w:rPr>
  </w:style>
  <w:style w:type="character" w:customStyle="1" w:styleId="47">
    <w:name w:val="004. Apartado Car"/>
    <w:qFormat/>
    <w:uiPriority w:val="0"/>
    <w:rPr>
      <w:rFonts w:ascii="Malacitana-Sans" w:hAnsi="Malacitana-Sans" w:cs="Arial"/>
      <w:b/>
      <w:bCs/>
      <w:color w:val="003366"/>
      <w:w w:val="100"/>
      <w:position w:val="-1"/>
      <w:sz w:val="24"/>
      <w:szCs w:val="24"/>
      <w:vertAlign w:val="baseline"/>
      <w:cs w:val="0"/>
      <w:lang w:val="en-US" w:eastAsia="en-US"/>
    </w:rPr>
  </w:style>
  <w:style w:type="paragraph" w:customStyle="1" w:styleId="48">
    <w:name w:val="Estilo Malacitana-Sans 11 pto Negrita Justificado Después:  6 pto"/>
    <w:basedOn w:val="1"/>
    <w:qFormat/>
    <w:uiPriority w:val="0"/>
    <w:pPr>
      <w:spacing w:after="120" w:line="1" w:lineRule="atLeast"/>
      <w:ind w:left="-1" w:leftChars="-1" w:hanging="1" w:hangingChars="1"/>
      <w:jc w:val="both"/>
      <w:textAlignment w:val="top"/>
      <w:outlineLvl w:val="0"/>
    </w:pPr>
    <w:rPr>
      <w:rFonts w:ascii="Malacitana-Sans" w:hAnsi="Malacitana-Sans"/>
      <w:b/>
      <w:bCs/>
      <w:color w:val="0070C0"/>
      <w:position w:val="-1"/>
      <w:sz w:val="22"/>
      <w:lang w:val="de-DE" w:eastAsia="ar-SA"/>
    </w:rPr>
  </w:style>
  <w:style w:type="paragraph" w:customStyle="1" w:styleId="49">
    <w:name w:val="Numeracion Propia"/>
    <w:basedOn w:val="1"/>
    <w:qFormat/>
    <w:uiPriority w:val="0"/>
    <w:pPr>
      <w:numPr>
        <w:ilvl w:val="0"/>
        <w:numId w:val="1"/>
      </w:numPr>
      <w:spacing w:after="120" w:line="1" w:lineRule="atLeast"/>
      <w:ind w:left="0" w:leftChars="-1" w:hangingChars="1" w:firstLine="0"/>
      <w:jc w:val="both"/>
      <w:textAlignment w:val="top"/>
      <w:outlineLvl w:val="0"/>
    </w:pPr>
    <w:rPr>
      <w:rFonts w:ascii="Malacitana-Sans" w:hAnsi="Malacitana-Sans"/>
      <w:b/>
      <w:position w:val="-1"/>
      <w:sz w:val="22"/>
      <w:szCs w:val="22"/>
      <w:lang w:val="en-US" w:eastAsia="ar-SA"/>
    </w:rPr>
  </w:style>
  <w:style w:type="character" w:customStyle="1" w:styleId="50">
    <w:name w:val="Numeracion Propia Car"/>
    <w:qFormat/>
    <w:uiPriority w:val="0"/>
    <w:rPr>
      <w:rFonts w:ascii="Malacitana-Sans" w:hAnsi="Malacitana-Sans"/>
      <w:b/>
      <w:w w:val="100"/>
      <w:position w:val="-1"/>
      <w:sz w:val="22"/>
      <w:szCs w:val="22"/>
      <w:vertAlign w:val="baseline"/>
      <w:cs w:val="0"/>
      <w:lang w:val="en-US" w:eastAsia="ar-SA"/>
    </w:rPr>
  </w:style>
  <w:style w:type="table" w:customStyle="1" w:styleId="51">
    <w:name w:val="_Style 50"/>
    <w:basedOn w:val="31"/>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f/nrix7K43iT2608Ec9WANFY5A==">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</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Normal.dotm</Template>
  <Pages>5</Pages>
  <Words>977</Words>
  <Characters>5933</Characters>
  <Lines>79</Lines>
  <Paragraphs>22</Paragraphs>
  <TotalTime>5</TotalTime>
  <ScaleCrop>false</ScaleCrop>
  <LinksUpToDate>false</LinksUpToDate>
  <CharactersWithSpaces>6865</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2026-10-13T08:00:00Z</dcterms:created>
  <dc:creator>Maria Fernanda Rodriguez Heras</dc:creator>
  <cp:lastModifiedBy>Asma</cp:lastModifiedBy>
  <dcterms:modified xsi:type="dcterms:W3CDTF">2026-10-15T12:31:37Z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eyJoZGlkIjoiYTk5NTNiNTcwZDA0ZTM5OWYzNGQ5NGI0YjVkYWVhNmMifQ==</vt:lpwstr>
  </property>
  <property fmtid="{D5CDD505-2E9C-101B-9397-08002B2CF9AE}" pid="3" name="KSOProductBuildVer">
    <vt:lpwstr>1033-12.1.0.29162</vt:lpwstr>
  </property>
  <property fmtid="{D5CDD505-2E9C-101B-9397-08002B2CF9AE}" pid="4" name="ICV">
    <vt:lpwstr>25D9A223FAE347EC9DA910EB5EAC82FC_12</vt:lpwstr>
  </property>
</Properties>
</file>